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7083" w14:textId="19156940" w:rsidR="00AB602B" w:rsidRPr="00985558" w:rsidRDefault="00AB602B" w:rsidP="00985558">
      <w:pPr>
        <w:jc w:val="both"/>
        <w:rPr>
          <w:rFonts w:ascii="Avenir Book" w:hAnsi="Avenir Book"/>
        </w:rPr>
      </w:pPr>
    </w:p>
    <w:p w14:paraId="5C2DD197" w14:textId="77777777" w:rsidR="00985558" w:rsidRDefault="00605254" w:rsidP="00985558">
      <w:pPr>
        <w:spacing w:before="100" w:beforeAutospacing="1" w:after="100" w:afterAutospacing="1"/>
        <w:jc w:val="both"/>
        <w:outlineLvl w:val="2"/>
        <w:rPr>
          <w:rFonts w:ascii="Avenir Book" w:eastAsiaTheme="majorEastAsia" w:hAnsi="Avenir Book" w:cstheme="majorBidi"/>
          <w:b/>
          <w:bCs/>
          <w:color w:val="2F5496" w:themeColor="accent1" w:themeShade="BF"/>
          <w:sz w:val="40"/>
          <w:szCs w:val="40"/>
        </w:rPr>
      </w:pPr>
      <w:r w:rsidRPr="00985558">
        <w:rPr>
          <w:rFonts w:ascii="Avenir Book" w:eastAsiaTheme="majorEastAsia" w:hAnsi="Avenir Book" w:cstheme="majorBidi"/>
          <w:b/>
          <w:bCs/>
          <w:color w:val="2F5496" w:themeColor="accent1" w:themeShade="BF"/>
          <w:sz w:val="40"/>
          <w:szCs w:val="40"/>
        </w:rPr>
        <w:t xml:space="preserve">TEMA 1. </w:t>
      </w:r>
    </w:p>
    <w:p w14:paraId="22420DA9" w14:textId="3D6EBBF7" w:rsidR="00605254" w:rsidRPr="00985558" w:rsidRDefault="00605254" w:rsidP="00985558">
      <w:pPr>
        <w:spacing w:before="100" w:beforeAutospacing="1" w:after="100" w:afterAutospacing="1"/>
        <w:jc w:val="both"/>
        <w:outlineLvl w:val="2"/>
        <w:rPr>
          <w:rFonts w:ascii="Avenir Book" w:eastAsiaTheme="majorEastAsia" w:hAnsi="Avenir Book" w:cstheme="majorBidi"/>
          <w:b/>
          <w:bCs/>
          <w:color w:val="2F5496" w:themeColor="accent1" w:themeShade="BF"/>
          <w:sz w:val="40"/>
          <w:szCs w:val="40"/>
        </w:rPr>
      </w:pPr>
      <w:r w:rsidRPr="00985558">
        <w:rPr>
          <w:rFonts w:ascii="Avenir Book" w:eastAsiaTheme="majorEastAsia" w:hAnsi="Avenir Book" w:cstheme="majorBidi"/>
          <w:b/>
          <w:bCs/>
          <w:color w:val="2F5496" w:themeColor="accent1" w:themeShade="BF"/>
          <w:sz w:val="40"/>
          <w:szCs w:val="40"/>
        </w:rPr>
        <w:t>INTRODUCCIÓN A</w:t>
      </w:r>
      <w:r w:rsidR="007833E1" w:rsidRPr="00985558">
        <w:rPr>
          <w:rFonts w:ascii="Avenir Book" w:eastAsiaTheme="majorEastAsia" w:hAnsi="Avenir Book" w:cstheme="majorBidi"/>
          <w:b/>
          <w:bCs/>
          <w:color w:val="2F5496" w:themeColor="accent1" w:themeShade="BF"/>
          <w:sz w:val="40"/>
          <w:szCs w:val="40"/>
        </w:rPr>
        <w:t>L DESARROLLO SEXUAL DIFERENTE</w:t>
      </w:r>
      <w:r w:rsidRPr="00985558">
        <w:rPr>
          <w:rFonts w:ascii="Avenir Book" w:eastAsiaTheme="majorEastAsia" w:hAnsi="Avenir Book" w:cstheme="majorBidi"/>
          <w:b/>
          <w:bCs/>
          <w:color w:val="2F5496" w:themeColor="accent1" w:themeShade="BF"/>
          <w:sz w:val="40"/>
          <w:szCs w:val="40"/>
        </w:rPr>
        <w:t xml:space="preserve"> (DSD)</w:t>
      </w:r>
    </w:p>
    <w:p w14:paraId="02BD8734" w14:textId="332EB5B1" w:rsidR="00605254" w:rsidRPr="00985558" w:rsidRDefault="00605254" w:rsidP="00985558">
      <w:pPr>
        <w:spacing w:before="100" w:beforeAutospacing="1" w:after="100" w:afterAutospacing="1"/>
        <w:jc w:val="both"/>
        <w:rPr>
          <w:rFonts w:ascii="Avenir Book" w:eastAsiaTheme="majorEastAsia" w:hAnsi="Avenir Book" w:cstheme="majorBidi"/>
          <w:b/>
          <w:bCs/>
          <w:color w:val="2F5496" w:themeColor="accent1" w:themeShade="BF"/>
          <w:sz w:val="28"/>
          <w:szCs w:val="28"/>
        </w:rPr>
      </w:pPr>
      <w:r w:rsidRPr="00985558">
        <w:rPr>
          <w:rFonts w:ascii="Avenir Book" w:eastAsiaTheme="majorEastAsia" w:hAnsi="Avenir Book" w:cstheme="majorBidi"/>
          <w:b/>
          <w:bCs/>
          <w:color w:val="2F5496" w:themeColor="accent1" w:themeShade="BF"/>
          <w:sz w:val="28"/>
          <w:szCs w:val="28"/>
        </w:rPr>
        <w:t>ÍNDICE:</w:t>
      </w:r>
    </w:p>
    <w:p w14:paraId="5B12E316" w14:textId="343C2754" w:rsidR="00605254" w:rsidRPr="00985558" w:rsidRDefault="00605254" w:rsidP="00985558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Avenir Book" w:eastAsia="Times New Roman" w:hAnsi="Avenir Book" w:cs="Times New Roman"/>
          <w:lang w:eastAsia="es-ES_tradnl"/>
        </w:rPr>
      </w:pPr>
      <w:r w:rsidRPr="00985558">
        <w:rPr>
          <w:rFonts w:ascii="Avenir Book" w:eastAsia="Times New Roman" w:hAnsi="Avenir Book" w:cs="Times New Roman"/>
          <w:lang w:eastAsia="es-ES_tradnl"/>
        </w:rPr>
        <w:t>Definición y terminología actual.</w:t>
      </w:r>
    </w:p>
    <w:p w14:paraId="7E9EA2E6" w14:textId="77777777" w:rsidR="00605254" w:rsidRPr="00985558" w:rsidRDefault="00605254" w:rsidP="00985558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Avenir Book" w:eastAsia="Times New Roman" w:hAnsi="Avenir Book" w:cs="Times New Roman"/>
          <w:lang w:eastAsia="es-ES_tradnl"/>
        </w:rPr>
      </w:pPr>
      <w:r w:rsidRPr="00985558">
        <w:rPr>
          <w:rFonts w:ascii="Avenir Book" w:eastAsia="Times New Roman" w:hAnsi="Avenir Book" w:cs="Times New Roman"/>
          <w:lang w:eastAsia="es-ES_tradnl"/>
        </w:rPr>
        <w:t>Clasificación general y espectro de presentaciones.</w:t>
      </w:r>
    </w:p>
    <w:p w14:paraId="26DC3E94" w14:textId="77777777" w:rsidR="00605254" w:rsidRPr="00985558" w:rsidRDefault="00605254" w:rsidP="00985558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Avenir Book" w:eastAsia="Times New Roman" w:hAnsi="Avenir Book" w:cs="Times New Roman"/>
          <w:lang w:eastAsia="es-ES_tradnl"/>
        </w:rPr>
      </w:pPr>
      <w:r w:rsidRPr="00985558">
        <w:rPr>
          <w:rFonts w:ascii="Avenir Book" w:eastAsia="Times New Roman" w:hAnsi="Avenir Book" w:cs="Times New Roman"/>
          <w:lang w:eastAsia="es-ES_tradnl"/>
        </w:rPr>
        <w:t>Prevalencia y epidemiología en España.</w:t>
      </w:r>
    </w:p>
    <w:p w14:paraId="6A597254" w14:textId="77777777" w:rsidR="00605254" w:rsidRPr="00985558" w:rsidRDefault="00605254" w:rsidP="00985558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Avenir Book" w:eastAsia="Times New Roman" w:hAnsi="Avenir Book" w:cs="Times New Roman"/>
          <w:lang w:eastAsia="es-ES_tradnl"/>
        </w:rPr>
      </w:pPr>
      <w:r w:rsidRPr="00985558">
        <w:rPr>
          <w:rFonts w:ascii="Avenir Book" w:eastAsia="Times New Roman" w:hAnsi="Avenir Book" w:cs="Times New Roman"/>
          <w:lang w:eastAsia="es-ES_tradnl"/>
        </w:rPr>
        <w:t>Relevancia del diagnóstico precoz desde Atención Primaria.</w:t>
      </w:r>
    </w:p>
    <w:p w14:paraId="164B5931" w14:textId="7D49D719" w:rsidR="00605254" w:rsidRPr="00985558" w:rsidRDefault="00605254" w:rsidP="00985558">
      <w:pPr>
        <w:jc w:val="both"/>
        <w:rPr>
          <w:rFonts w:ascii="Avenir Book" w:hAnsi="Avenir Book"/>
        </w:rPr>
      </w:pPr>
    </w:p>
    <w:p w14:paraId="759721AD" w14:textId="77777777" w:rsidR="00605254" w:rsidRPr="00985558" w:rsidRDefault="00605254" w:rsidP="00985558">
      <w:pPr>
        <w:pStyle w:val="Ttulo2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>1. Definición y terminología actual</w:t>
      </w:r>
    </w:p>
    <w:p w14:paraId="41F3D8E4" w14:textId="77777777" w:rsidR="00605254" w:rsidRPr="00985558" w:rsidRDefault="00605254" w:rsidP="00985558">
      <w:pPr>
        <w:pStyle w:val="NormalWeb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Los </w:t>
      </w:r>
      <w:r w:rsidRPr="00985558">
        <w:rPr>
          <w:rStyle w:val="Textoennegrita"/>
          <w:rFonts w:ascii="Avenir Book" w:hAnsi="Avenir Book"/>
        </w:rPr>
        <w:t>Trastornos del Desarrollo Sexual</w:t>
      </w:r>
      <w:r w:rsidRPr="00985558">
        <w:rPr>
          <w:rFonts w:ascii="Avenir Book" w:hAnsi="Avenir Book"/>
        </w:rPr>
        <w:t xml:space="preserve"> (DSD) son un </w:t>
      </w:r>
      <w:r w:rsidRPr="00985558">
        <w:rPr>
          <w:rStyle w:val="Textoennegrita"/>
          <w:rFonts w:ascii="Avenir Book" w:hAnsi="Avenir Book"/>
        </w:rPr>
        <w:t>grupo heterogéneo de condiciones congénitas</w:t>
      </w:r>
      <w:r w:rsidRPr="00985558">
        <w:rPr>
          <w:rFonts w:ascii="Avenir Book" w:hAnsi="Avenir Book"/>
        </w:rPr>
        <w:t xml:space="preserve"> caracterizadas por un </w:t>
      </w:r>
      <w:r w:rsidRPr="00985558">
        <w:rPr>
          <w:rStyle w:val="Textoennegrita"/>
          <w:rFonts w:ascii="Avenir Book" w:hAnsi="Avenir Book"/>
        </w:rPr>
        <w:t>desarrollo atípico de los cromosomas sexuales, las gónadas o la anatomía genital</w:t>
      </w:r>
      <w:r w:rsidRPr="00985558">
        <w:rPr>
          <w:rFonts w:ascii="Avenir Book" w:hAnsi="Avenir Book"/>
        </w:rPr>
        <w:t xml:space="preserve">. Según la </w:t>
      </w:r>
      <w:r w:rsidRPr="00985558">
        <w:rPr>
          <w:rStyle w:val="Textoennegrita"/>
          <w:rFonts w:ascii="Avenir Book" w:hAnsi="Avenir Book"/>
        </w:rPr>
        <w:t>definición consensuada por la Sociedad Europea de Endocrinología Pediátrica (ESPE)</w:t>
      </w:r>
      <w:r w:rsidRPr="00985558">
        <w:rPr>
          <w:rFonts w:ascii="Avenir Book" w:hAnsi="Avenir Book"/>
        </w:rPr>
        <w:t xml:space="preserve"> y la </w:t>
      </w:r>
      <w:proofErr w:type="spellStart"/>
      <w:r w:rsidRPr="00985558">
        <w:rPr>
          <w:rStyle w:val="Textoennegrita"/>
          <w:rFonts w:ascii="Avenir Book" w:hAnsi="Avenir Book"/>
        </w:rPr>
        <w:t>Lawson</w:t>
      </w:r>
      <w:proofErr w:type="spellEnd"/>
      <w:r w:rsidRPr="00985558">
        <w:rPr>
          <w:rStyle w:val="Textoennegrita"/>
          <w:rFonts w:ascii="Avenir Book" w:hAnsi="Avenir Book"/>
        </w:rPr>
        <w:t xml:space="preserve"> Wilkins </w:t>
      </w:r>
      <w:proofErr w:type="spellStart"/>
      <w:r w:rsidRPr="00985558">
        <w:rPr>
          <w:rStyle w:val="Textoennegrita"/>
          <w:rFonts w:ascii="Avenir Book" w:hAnsi="Avenir Book"/>
        </w:rPr>
        <w:t>Pediatric</w:t>
      </w:r>
      <w:proofErr w:type="spellEnd"/>
      <w:r w:rsidRPr="00985558">
        <w:rPr>
          <w:rStyle w:val="Textoennegrita"/>
          <w:rFonts w:ascii="Avenir Book" w:hAnsi="Avenir Book"/>
        </w:rPr>
        <w:t xml:space="preserve"> Endocrine </w:t>
      </w:r>
      <w:proofErr w:type="spellStart"/>
      <w:r w:rsidRPr="00985558">
        <w:rPr>
          <w:rStyle w:val="Textoennegrita"/>
          <w:rFonts w:ascii="Avenir Book" w:hAnsi="Avenir Book"/>
        </w:rPr>
        <w:t>Society</w:t>
      </w:r>
      <w:proofErr w:type="spellEnd"/>
      <w:r w:rsidRPr="00985558">
        <w:rPr>
          <w:rStyle w:val="Textoennegrita"/>
          <w:rFonts w:ascii="Avenir Book" w:hAnsi="Avenir Book"/>
        </w:rPr>
        <w:t xml:space="preserve"> (LWPES)</w:t>
      </w:r>
      <w:r w:rsidRPr="00985558">
        <w:rPr>
          <w:rFonts w:ascii="Avenir Book" w:hAnsi="Avenir Book"/>
        </w:rPr>
        <w:t xml:space="preserve">, se consideran DSD aquellas situaciones en las que el </w:t>
      </w:r>
      <w:r w:rsidRPr="00985558">
        <w:rPr>
          <w:rStyle w:val="Textoennegrita"/>
          <w:rFonts w:ascii="Avenir Book" w:hAnsi="Avenir Book"/>
        </w:rPr>
        <w:t>sexo cromosómico, gonadal o anatómico</w:t>
      </w:r>
      <w:r w:rsidRPr="00985558">
        <w:rPr>
          <w:rFonts w:ascii="Avenir Book" w:hAnsi="Avenir Book"/>
        </w:rPr>
        <w:t xml:space="preserve"> presenta discrepancias o alteraciones que dificultan o impiden una asignación sexual clara al nacimiento.</w:t>
      </w:r>
    </w:p>
    <w:p w14:paraId="42D48429" w14:textId="77777777" w:rsidR="00605254" w:rsidRPr="00985558" w:rsidRDefault="00605254" w:rsidP="00985558">
      <w:pPr>
        <w:pStyle w:val="Ttulo3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>Evolución terminológica</w:t>
      </w:r>
    </w:p>
    <w:p w14:paraId="6DDEF0DC" w14:textId="77777777" w:rsidR="00605254" w:rsidRPr="00985558" w:rsidRDefault="00605254" w:rsidP="00985558">
      <w:pPr>
        <w:pStyle w:val="NormalWeb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Históricamente, se utilizaban términos como </w:t>
      </w:r>
      <w:r w:rsidRPr="00985558">
        <w:rPr>
          <w:rStyle w:val="Textoennegrita"/>
          <w:rFonts w:ascii="Avenir Book" w:hAnsi="Avenir Book"/>
        </w:rPr>
        <w:t>hermafroditismo</w:t>
      </w:r>
      <w:r w:rsidRPr="00985558">
        <w:rPr>
          <w:rFonts w:ascii="Avenir Book" w:hAnsi="Avenir Book"/>
        </w:rPr>
        <w:t xml:space="preserve">, </w:t>
      </w:r>
      <w:r w:rsidRPr="00985558">
        <w:rPr>
          <w:rStyle w:val="Textoennegrita"/>
          <w:rFonts w:ascii="Avenir Book" w:hAnsi="Avenir Book"/>
        </w:rPr>
        <w:t>pseudohermafroditismo masculino o femenino</w:t>
      </w:r>
      <w:r w:rsidRPr="00985558">
        <w:rPr>
          <w:rFonts w:ascii="Avenir Book" w:hAnsi="Avenir Book"/>
        </w:rPr>
        <w:t xml:space="preserve"> y </w:t>
      </w:r>
      <w:r w:rsidRPr="00985558">
        <w:rPr>
          <w:rStyle w:val="Textoennegrita"/>
          <w:rFonts w:ascii="Avenir Book" w:hAnsi="Avenir Book"/>
        </w:rPr>
        <w:t>ambigüedad sexual</w:t>
      </w:r>
      <w:r w:rsidRPr="00985558">
        <w:rPr>
          <w:rFonts w:ascii="Avenir Book" w:hAnsi="Avenir Book"/>
        </w:rPr>
        <w:t xml:space="preserve">, términos que hoy son considerados obsoletos y estigmatizantes. Actualmente, el término aceptado es </w:t>
      </w:r>
      <w:r w:rsidRPr="00985558">
        <w:rPr>
          <w:rStyle w:val="Textoennegrita"/>
          <w:rFonts w:ascii="Avenir Book" w:hAnsi="Avenir Book"/>
        </w:rPr>
        <w:t>DSD (</w:t>
      </w:r>
      <w:proofErr w:type="spellStart"/>
      <w:r w:rsidRPr="00985558">
        <w:rPr>
          <w:rStyle w:val="Textoennegrita"/>
          <w:rFonts w:ascii="Avenir Book" w:hAnsi="Avenir Book"/>
        </w:rPr>
        <w:t>Disorders</w:t>
      </w:r>
      <w:proofErr w:type="spellEnd"/>
      <w:r w:rsidRPr="00985558">
        <w:rPr>
          <w:rStyle w:val="Textoennegrita"/>
          <w:rFonts w:ascii="Avenir Book" w:hAnsi="Avenir Book"/>
        </w:rPr>
        <w:t xml:space="preserve"> </w:t>
      </w:r>
      <w:proofErr w:type="spellStart"/>
      <w:r w:rsidRPr="00985558">
        <w:rPr>
          <w:rStyle w:val="Textoennegrita"/>
          <w:rFonts w:ascii="Avenir Book" w:hAnsi="Avenir Book"/>
        </w:rPr>
        <w:t>of</w:t>
      </w:r>
      <w:proofErr w:type="spellEnd"/>
      <w:r w:rsidRPr="00985558">
        <w:rPr>
          <w:rStyle w:val="Textoennegrita"/>
          <w:rFonts w:ascii="Avenir Book" w:hAnsi="Avenir Book"/>
        </w:rPr>
        <w:t xml:space="preserve"> Sex </w:t>
      </w:r>
      <w:proofErr w:type="spellStart"/>
      <w:r w:rsidRPr="00985558">
        <w:rPr>
          <w:rStyle w:val="Textoennegrita"/>
          <w:rFonts w:ascii="Avenir Book" w:hAnsi="Avenir Book"/>
        </w:rPr>
        <w:t>Development</w:t>
      </w:r>
      <w:proofErr w:type="spellEnd"/>
      <w:r w:rsidRPr="00985558">
        <w:rPr>
          <w:rStyle w:val="Textoennegrita"/>
          <w:rFonts w:ascii="Avenir Book" w:hAnsi="Avenir Book"/>
        </w:rPr>
        <w:t>)</w:t>
      </w:r>
      <w:r w:rsidRPr="00985558">
        <w:rPr>
          <w:rFonts w:ascii="Avenir Book" w:hAnsi="Avenir Book"/>
        </w:rPr>
        <w:t xml:space="preserve"> o, en español, </w:t>
      </w:r>
      <w:r w:rsidRPr="00985558">
        <w:rPr>
          <w:rStyle w:val="Textoennegrita"/>
          <w:rFonts w:ascii="Avenir Book" w:hAnsi="Avenir Book"/>
        </w:rPr>
        <w:t>Trastornos del Desarrollo Sexual</w:t>
      </w:r>
      <w:r w:rsidRPr="00985558">
        <w:rPr>
          <w:rFonts w:ascii="Avenir Book" w:hAnsi="Avenir Book"/>
        </w:rPr>
        <w:t xml:space="preserve">. En algunos entornos clínicos y sociales se prefiere el término </w:t>
      </w:r>
      <w:r w:rsidRPr="00985558">
        <w:rPr>
          <w:rStyle w:val="Textoennegrita"/>
          <w:rFonts w:ascii="Avenir Book" w:hAnsi="Avenir Book"/>
        </w:rPr>
        <w:t>Diferencias del Desarrollo Sexual</w:t>
      </w:r>
      <w:r w:rsidRPr="00985558">
        <w:rPr>
          <w:rFonts w:ascii="Avenir Book" w:hAnsi="Avenir Book"/>
        </w:rPr>
        <w:t>, que evita la connotación patológica, aunque su uso aún no es uniforme.</w:t>
      </w:r>
    </w:p>
    <w:p w14:paraId="5D2DAC2E" w14:textId="77777777" w:rsidR="00985558" w:rsidRDefault="00985558" w:rsidP="00985558">
      <w:pPr>
        <w:pStyle w:val="Ttulo3"/>
        <w:jc w:val="both"/>
        <w:rPr>
          <w:rFonts w:ascii="Avenir Book" w:hAnsi="Avenir Book"/>
        </w:rPr>
      </w:pPr>
    </w:p>
    <w:p w14:paraId="1CCB0B34" w14:textId="64CE660B" w:rsidR="00605254" w:rsidRPr="00985558" w:rsidRDefault="00605254" w:rsidP="00985558">
      <w:pPr>
        <w:pStyle w:val="Ttulo3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lastRenderedPageBreak/>
        <w:t>Importancia de la definición clara en Atención Primaria</w:t>
      </w:r>
    </w:p>
    <w:p w14:paraId="3479974B" w14:textId="77777777" w:rsidR="00605254" w:rsidRPr="00985558" w:rsidRDefault="00605254" w:rsidP="00985558">
      <w:pPr>
        <w:pStyle w:val="NormalWeb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Para los médicos de </w:t>
      </w:r>
      <w:r w:rsidRPr="00985558">
        <w:rPr>
          <w:rStyle w:val="Textoennegrita"/>
          <w:rFonts w:ascii="Avenir Book" w:hAnsi="Avenir Book"/>
        </w:rPr>
        <w:t>atención primaria</w:t>
      </w:r>
      <w:r w:rsidRPr="00985558">
        <w:rPr>
          <w:rFonts w:ascii="Avenir Book" w:hAnsi="Avenir Book"/>
        </w:rPr>
        <w:t xml:space="preserve">, es fundamental entender que el término DSD engloba situaciones </w:t>
      </w:r>
      <w:r w:rsidRPr="00985558">
        <w:rPr>
          <w:rStyle w:val="Textoennegrita"/>
          <w:rFonts w:ascii="Avenir Book" w:hAnsi="Avenir Book"/>
        </w:rPr>
        <w:t>muy heterogéneas</w:t>
      </w:r>
      <w:r w:rsidRPr="00985558">
        <w:rPr>
          <w:rFonts w:ascii="Avenir Book" w:hAnsi="Avenir Book"/>
        </w:rPr>
        <w:t xml:space="preserve">, desde condiciones leves como </w:t>
      </w:r>
      <w:r w:rsidRPr="00985558">
        <w:rPr>
          <w:rStyle w:val="Textoennegrita"/>
          <w:rFonts w:ascii="Avenir Book" w:hAnsi="Avenir Book"/>
        </w:rPr>
        <w:t>hipospadias aisladas</w:t>
      </w:r>
      <w:r w:rsidRPr="00985558">
        <w:rPr>
          <w:rFonts w:ascii="Avenir Book" w:hAnsi="Avenir Book"/>
        </w:rPr>
        <w:t xml:space="preserve">, hasta situaciones complejas con </w:t>
      </w:r>
      <w:r w:rsidRPr="00985558">
        <w:rPr>
          <w:rStyle w:val="Textoennegrita"/>
          <w:rFonts w:ascii="Avenir Book" w:hAnsi="Avenir Book"/>
        </w:rPr>
        <w:t>discordancia cromosómica, gonadal y genital</w:t>
      </w:r>
      <w:r w:rsidRPr="00985558">
        <w:rPr>
          <w:rFonts w:ascii="Avenir Book" w:hAnsi="Avenir Book"/>
        </w:rPr>
        <w:t xml:space="preserve">, como la </w:t>
      </w:r>
      <w:r w:rsidRPr="00985558">
        <w:rPr>
          <w:rStyle w:val="Textoennegrita"/>
          <w:rFonts w:ascii="Avenir Book" w:hAnsi="Avenir Book"/>
        </w:rPr>
        <w:t>disgenesia gonadal mixta</w:t>
      </w:r>
      <w:r w:rsidRPr="00985558">
        <w:rPr>
          <w:rFonts w:ascii="Avenir Book" w:hAnsi="Avenir Book"/>
        </w:rPr>
        <w:t xml:space="preserve"> o el </w:t>
      </w:r>
      <w:proofErr w:type="spellStart"/>
      <w:r w:rsidRPr="00985558">
        <w:rPr>
          <w:rStyle w:val="Textoennegrita"/>
          <w:rFonts w:ascii="Avenir Book" w:hAnsi="Avenir Book"/>
        </w:rPr>
        <w:t>ovotesticular</w:t>
      </w:r>
      <w:proofErr w:type="spellEnd"/>
      <w:r w:rsidRPr="00985558">
        <w:rPr>
          <w:rStyle w:val="Textoennegrita"/>
          <w:rFonts w:ascii="Avenir Book" w:hAnsi="Avenir Book"/>
        </w:rPr>
        <w:t xml:space="preserve"> DSD</w:t>
      </w:r>
      <w:r w:rsidRPr="00985558">
        <w:rPr>
          <w:rFonts w:ascii="Avenir Book" w:hAnsi="Avenir Book"/>
        </w:rPr>
        <w:t xml:space="preserve">. Por tanto, </w:t>
      </w:r>
      <w:r w:rsidRPr="00985558">
        <w:rPr>
          <w:rStyle w:val="Textoennegrita"/>
          <w:rFonts w:ascii="Avenir Book" w:hAnsi="Avenir Book"/>
        </w:rPr>
        <w:t>no todos los DSD son urgentes ni requieren un manejo inmediato</w:t>
      </w:r>
      <w:r w:rsidRPr="00985558">
        <w:rPr>
          <w:rFonts w:ascii="Avenir Book" w:hAnsi="Avenir Book"/>
        </w:rPr>
        <w:t xml:space="preserve">, pero todos deben ser evaluados de forma </w:t>
      </w:r>
      <w:r w:rsidRPr="00985558">
        <w:rPr>
          <w:rStyle w:val="Textoennegrita"/>
          <w:rFonts w:ascii="Avenir Book" w:hAnsi="Avenir Book"/>
        </w:rPr>
        <w:t>protocolizada</w:t>
      </w:r>
      <w:r w:rsidRPr="00985558">
        <w:rPr>
          <w:rFonts w:ascii="Avenir Book" w:hAnsi="Avenir Book"/>
        </w:rPr>
        <w:t xml:space="preserve"> y con el acompañamiento de </w:t>
      </w:r>
      <w:r w:rsidRPr="00985558">
        <w:rPr>
          <w:rStyle w:val="Textoennegrita"/>
          <w:rFonts w:ascii="Avenir Book" w:hAnsi="Avenir Book"/>
        </w:rPr>
        <w:t>unidades especializadas (CSUR)</w:t>
      </w:r>
      <w:r w:rsidRPr="00985558">
        <w:rPr>
          <w:rFonts w:ascii="Avenir Book" w:hAnsi="Avenir Book"/>
        </w:rPr>
        <w:t>.</w:t>
      </w:r>
    </w:p>
    <w:p w14:paraId="37ADE413" w14:textId="77777777" w:rsidR="00605254" w:rsidRPr="00985558" w:rsidRDefault="00605254" w:rsidP="00985558">
      <w:pPr>
        <w:pStyle w:val="Ttulo3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>Aspectos clave para AP</w:t>
      </w:r>
    </w:p>
    <w:p w14:paraId="25137FDA" w14:textId="77777777" w:rsidR="00605254" w:rsidRPr="00985558" w:rsidRDefault="00605254" w:rsidP="00985558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DSD no es sinónimo de urgencia vital, pero sí de </w:t>
      </w:r>
      <w:r w:rsidRPr="00985558">
        <w:rPr>
          <w:rStyle w:val="Textoennegrita"/>
          <w:rFonts w:ascii="Avenir Book" w:hAnsi="Avenir Book"/>
        </w:rPr>
        <w:t>derivación precoz</w:t>
      </w:r>
      <w:r w:rsidRPr="00985558">
        <w:rPr>
          <w:rFonts w:ascii="Avenir Book" w:hAnsi="Avenir Book"/>
        </w:rPr>
        <w:t>.</w:t>
      </w:r>
    </w:p>
    <w:p w14:paraId="781C8497" w14:textId="77777777" w:rsidR="00605254" w:rsidRPr="00985558" w:rsidRDefault="00605254" w:rsidP="00985558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>Evitar etiquetas diagnósticas apresuradas o explicaciones simplistas.</w:t>
      </w:r>
    </w:p>
    <w:p w14:paraId="7917901C" w14:textId="77777777" w:rsidR="00605254" w:rsidRPr="00985558" w:rsidRDefault="00605254" w:rsidP="00985558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En atención primaria, el </w:t>
      </w:r>
      <w:r w:rsidRPr="00985558">
        <w:rPr>
          <w:rStyle w:val="Textoennegrita"/>
          <w:rFonts w:ascii="Avenir Book" w:hAnsi="Avenir Book"/>
        </w:rPr>
        <w:t>papel clave es la sospecha inicial</w:t>
      </w:r>
      <w:r w:rsidRPr="00985558">
        <w:rPr>
          <w:rFonts w:ascii="Avenir Book" w:hAnsi="Avenir Book"/>
        </w:rPr>
        <w:t xml:space="preserve"> y la </w:t>
      </w:r>
      <w:r w:rsidRPr="00985558">
        <w:rPr>
          <w:rStyle w:val="Textoennegrita"/>
          <w:rFonts w:ascii="Avenir Book" w:hAnsi="Avenir Book"/>
        </w:rPr>
        <w:t>coordinación ágil con unidades especializadas</w:t>
      </w:r>
      <w:r w:rsidRPr="00985558">
        <w:rPr>
          <w:rFonts w:ascii="Avenir Book" w:hAnsi="Avenir Book"/>
        </w:rPr>
        <w:t>.</w:t>
      </w:r>
    </w:p>
    <w:p w14:paraId="18007ABC" w14:textId="7F7F612F" w:rsidR="00605254" w:rsidRPr="00985558" w:rsidRDefault="00605254" w:rsidP="00985558">
      <w:pPr>
        <w:jc w:val="both"/>
        <w:rPr>
          <w:rFonts w:ascii="Avenir Book" w:hAnsi="Avenir Book"/>
        </w:rPr>
      </w:pPr>
    </w:p>
    <w:p w14:paraId="65713BD0" w14:textId="77777777" w:rsidR="00605254" w:rsidRPr="00985558" w:rsidRDefault="00605254" w:rsidP="00985558">
      <w:pPr>
        <w:pStyle w:val="Ttulo2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>2. Clasificación general y espectro de presentaciones</w:t>
      </w:r>
    </w:p>
    <w:p w14:paraId="44107946" w14:textId="77777777" w:rsidR="00605254" w:rsidRPr="00985558" w:rsidRDefault="00605254" w:rsidP="00985558">
      <w:pPr>
        <w:pStyle w:val="Ttulo3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>Clasificación actual</w:t>
      </w:r>
    </w:p>
    <w:p w14:paraId="47093CAF" w14:textId="77777777" w:rsidR="00605254" w:rsidRPr="00985558" w:rsidRDefault="00605254" w:rsidP="00985558">
      <w:pPr>
        <w:pStyle w:val="NormalWeb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Los DSD se clasifican en tres grandes grupos, según el </w:t>
      </w:r>
      <w:r w:rsidRPr="00985558">
        <w:rPr>
          <w:rStyle w:val="Textoennegrita"/>
          <w:rFonts w:ascii="Avenir Book" w:hAnsi="Avenir Book"/>
        </w:rPr>
        <w:t>cariotipo</w:t>
      </w:r>
      <w:r w:rsidRPr="00985558">
        <w:rPr>
          <w:rFonts w:ascii="Avenir Book" w:hAnsi="Avenir Book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6824"/>
      </w:tblGrid>
      <w:tr w:rsidR="00605254" w:rsidRPr="00985558" w14:paraId="67CF76C5" w14:textId="77777777" w:rsidTr="006052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869DFA3" w14:textId="77777777" w:rsidR="00605254" w:rsidRPr="00985558" w:rsidRDefault="00605254" w:rsidP="00985558">
            <w:pPr>
              <w:jc w:val="both"/>
              <w:rPr>
                <w:rFonts w:ascii="Avenir Book" w:hAnsi="Avenir Book"/>
                <w:b/>
                <w:bCs/>
              </w:rPr>
            </w:pPr>
            <w:r w:rsidRPr="00985558">
              <w:rPr>
                <w:rFonts w:ascii="Avenir Book" w:hAnsi="Avenir Book"/>
                <w:b/>
                <w:bCs/>
              </w:rPr>
              <w:t>Grupo</w:t>
            </w:r>
          </w:p>
        </w:tc>
        <w:tc>
          <w:tcPr>
            <w:tcW w:w="0" w:type="auto"/>
            <w:vAlign w:val="center"/>
            <w:hideMark/>
          </w:tcPr>
          <w:p w14:paraId="20B556CB" w14:textId="77777777" w:rsidR="00605254" w:rsidRPr="00985558" w:rsidRDefault="00605254" w:rsidP="00985558">
            <w:pPr>
              <w:jc w:val="both"/>
              <w:rPr>
                <w:rFonts w:ascii="Avenir Book" w:hAnsi="Avenir Book"/>
                <w:b/>
                <w:bCs/>
              </w:rPr>
            </w:pPr>
            <w:r w:rsidRPr="00985558">
              <w:rPr>
                <w:rFonts w:ascii="Avenir Book" w:hAnsi="Avenir Book"/>
                <w:b/>
                <w:bCs/>
              </w:rPr>
              <w:t>Definición</w:t>
            </w:r>
          </w:p>
        </w:tc>
      </w:tr>
      <w:tr w:rsidR="00605254" w:rsidRPr="00985558" w14:paraId="44B06ADB" w14:textId="77777777" w:rsidTr="006052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C5948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Style w:val="Textoennegrita"/>
                <w:rFonts w:ascii="Avenir Book" w:hAnsi="Avenir Book"/>
              </w:rPr>
              <w:t xml:space="preserve">DSD con cariotipo </w:t>
            </w:r>
            <w:proofErr w:type="gramStart"/>
            <w:r w:rsidRPr="00985558">
              <w:rPr>
                <w:rStyle w:val="Textoennegrita"/>
                <w:rFonts w:ascii="Avenir Book" w:hAnsi="Avenir Book"/>
              </w:rPr>
              <w:t>46,XX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DC9E057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Fonts w:ascii="Avenir Book" w:hAnsi="Avenir Book"/>
              </w:rPr>
              <w:t>Mujeres con variaciones en el desarrollo gonadal o genital (exceso de andrógenos fetal, hiperplasia suprarrenal congénita, etc.).</w:t>
            </w:r>
          </w:p>
        </w:tc>
      </w:tr>
      <w:tr w:rsidR="00605254" w:rsidRPr="00985558" w14:paraId="0658D160" w14:textId="77777777" w:rsidTr="006052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003A23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Style w:val="Textoennegrita"/>
                <w:rFonts w:ascii="Avenir Book" w:hAnsi="Avenir Book"/>
              </w:rPr>
              <w:t xml:space="preserve">DSD con cariotipo </w:t>
            </w:r>
            <w:proofErr w:type="gramStart"/>
            <w:r w:rsidRPr="00985558">
              <w:rPr>
                <w:rStyle w:val="Textoennegrita"/>
                <w:rFonts w:ascii="Avenir Book" w:hAnsi="Avenir Book"/>
              </w:rPr>
              <w:t>46,XY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6C31DBF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Fonts w:ascii="Avenir Book" w:hAnsi="Avenir Book"/>
              </w:rPr>
              <w:t>Varones con alteraciones en la diferenciación gonadal o la acción de andrógenos (insensibilidad androgénica, disgenesia gonadal, defectos enzimáticos).</w:t>
            </w:r>
          </w:p>
        </w:tc>
      </w:tr>
      <w:tr w:rsidR="00605254" w:rsidRPr="00985558" w14:paraId="27195288" w14:textId="77777777" w:rsidTr="006052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651111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Style w:val="Textoennegrita"/>
                <w:rFonts w:ascii="Avenir Book" w:hAnsi="Avenir Book"/>
              </w:rPr>
              <w:t>DSD con cariotipo sexual atípico</w:t>
            </w:r>
          </w:p>
        </w:tc>
        <w:tc>
          <w:tcPr>
            <w:tcW w:w="0" w:type="auto"/>
            <w:vAlign w:val="center"/>
            <w:hideMark/>
          </w:tcPr>
          <w:p w14:paraId="784C6DB3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Fonts w:ascii="Avenir Book" w:hAnsi="Avenir Book"/>
              </w:rPr>
              <w:t>Anomalías cromosómicas (</w:t>
            </w:r>
            <w:proofErr w:type="gramStart"/>
            <w:r w:rsidRPr="00985558">
              <w:rPr>
                <w:rFonts w:ascii="Avenir Book" w:hAnsi="Avenir Book"/>
              </w:rPr>
              <w:t>45,X</w:t>
            </w:r>
            <w:proofErr w:type="gramEnd"/>
            <w:r w:rsidRPr="00985558">
              <w:rPr>
                <w:rFonts w:ascii="Avenir Book" w:hAnsi="Avenir Book"/>
              </w:rPr>
              <w:t xml:space="preserve">/46,XY, </w:t>
            </w:r>
            <w:proofErr w:type="spellStart"/>
            <w:r w:rsidRPr="00985558">
              <w:rPr>
                <w:rFonts w:ascii="Avenir Book" w:hAnsi="Avenir Book"/>
              </w:rPr>
              <w:t>quimerismo</w:t>
            </w:r>
            <w:proofErr w:type="spellEnd"/>
            <w:r w:rsidRPr="00985558">
              <w:rPr>
                <w:rFonts w:ascii="Avenir Book" w:hAnsi="Avenir Book"/>
              </w:rPr>
              <w:t xml:space="preserve"> 46,XX/46,XY, síndrome de Klinefelter, síndrome de Turner con mosaicismo).</w:t>
            </w:r>
          </w:p>
        </w:tc>
      </w:tr>
    </w:tbl>
    <w:p w14:paraId="117FF178" w14:textId="77777777" w:rsidR="00605254" w:rsidRPr="00985558" w:rsidRDefault="00605254" w:rsidP="00985558">
      <w:pPr>
        <w:pStyle w:val="Ttulo3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>Formas clínicas más relevantes para Atención Primaria</w:t>
      </w:r>
    </w:p>
    <w:p w14:paraId="745F35B3" w14:textId="77777777" w:rsidR="00605254" w:rsidRPr="00985558" w:rsidRDefault="00605254" w:rsidP="00985558">
      <w:pPr>
        <w:pStyle w:val="NormalWeb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>Desde la perspectiva de atención primaria, las presentaciones más relevantes son:</w:t>
      </w:r>
    </w:p>
    <w:p w14:paraId="039BFB35" w14:textId="77777777" w:rsidR="00605254" w:rsidRPr="00985558" w:rsidRDefault="00605254" w:rsidP="00985558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Style w:val="Textoennegrita"/>
          <w:rFonts w:ascii="Avenir Book" w:hAnsi="Avenir Book"/>
        </w:rPr>
        <w:lastRenderedPageBreak/>
        <w:t>Genitales ambiguos al nacimiento</w:t>
      </w:r>
      <w:r w:rsidRPr="00985558">
        <w:rPr>
          <w:rFonts w:ascii="Avenir Book" w:hAnsi="Avenir Book"/>
        </w:rPr>
        <w:t>: Es la presentación clásica y la que requiere una valoración más rápida.</w:t>
      </w:r>
    </w:p>
    <w:p w14:paraId="1200D861" w14:textId="77777777" w:rsidR="00605254" w:rsidRPr="00985558" w:rsidRDefault="00605254" w:rsidP="00985558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Style w:val="Textoennegrita"/>
          <w:rFonts w:ascii="Avenir Book" w:hAnsi="Avenir Book"/>
        </w:rPr>
        <w:t>Criptorquidia bilateral o testículos no palpables</w:t>
      </w:r>
      <w:r w:rsidRPr="00985558">
        <w:rPr>
          <w:rFonts w:ascii="Avenir Book" w:hAnsi="Avenir Book"/>
        </w:rPr>
        <w:t xml:space="preserve">: Puede ser un signo de DSD </w:t>
      </w:r>
      <w:proofErr w:type="gramStart"/>
      <w:r w:rsidRPr="00985558">
        <w:rPr>
          <w:rFonts w:ascii="Avenir Book" w:hAnsi="Avenir Book"/>
        </w:rPr>
        <w:t>46,XY</w:t>
      </w:r>
      <w:proofErr w:type="gramEnd"/>
      <w:r w:rsidRPr="00985558">
        <w:rPr>
          <w:rFonts w:ascii="Avenir Book" w:hAnsi="Avenir Book"/>
        </w:rPr>
        <w:t xml:space="preserve"> con disgenesia gonadal.</w:t>
      </w:r>
    </w:p>
    <w:p w14:paraId="4579B696" w14:textId="380556A6" w:rsidR="00605254" w:rsidRPr="00985558" w:rsidRDefault="00605254" w:rsidP="00985558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Style w:val="Textoennegrita"/>
          <w:rFonts w:ascii="Avenir Book" w:hAnsi="Avenir Book"/>
        </w:rPr>
        <w:t xml:space="preserve">Hipospadias severo (proximal o </w:t>
      </w:r>
      <w:proofErr w:type="spellStart"/>
      <w:r w:rsidRPr="00985558">
        <w:rPr>
          <w:rStyle w:val="Textoennegrita"/>
          <w:rFonts w:ascii="Avenir Book" w:hAnsi="Avenir Book"/>
        </w:rPr>
        <w:t>penoscrotal</w:t>
      </w:r>
      <w:proofErr w:type="spellEnd"/>
      <w:r w:rsidRPr="00985558">
        <w:rPr>
          <w:rStyle w:val="Textoennegrita"/>
          <w:rFonts w:ascii="Avenir Book" w:hAnsi="Avenir Book"/>
        </w:rPr>
        <w:t>)</w:t>
      </w:r>
      <w:r w:rsidRPr="00985558">
        <w:rPr>
          <w:rFonts w:ascii="Avenir Book" w:hAnsi="Avenir Book"/>
        </w:rPr>
        <w:t>: Especialmente si se asocia a testículos no descendidos o pequeño tamaño peneano.</w:t>
      </w:r>
    </w:p>
    <w:p w14:paraId="695E7EEB" w14:textId="77777777" w:rsidR="00605254" w:rsidRPr="00985558" w:rsidRDefault="00605254" w:rsidP="00985558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Style w:val="Textoennegrita"/>
          <w:rFonts w:ascii="Avenir Book" w:hAnsi="Avenir Book"/>
        </w:rPr>
        <w:t>Pubertad discordante o ausente</w:t>
      </w:r>
      <w:r w:rsidRPr="00985558">
        <w:rPr>
          <w:rFonts w:ascii="Avenir Book" w:hAnsi="Avenir Book"/>
        </w:rPr>
        <w:t>: En niñas con virilización progresiva (</w:t>
      </w:r>
      <w:proofErr w:type="spellStart"/>
      <w:r w:rsidRPr="00985558">
        <w:rPr>
          <w:rFonts w:ascii="Avenir Book" w:hAnsi="Avenir Book"/>
        </w:rPr>
        <w:t>clitoromegalia</w:t>
      </w:r>
      <w:proofErr w:type="spellEnd"/>
      <w:r w:rsidRPr="00985558">
        <w:rPr>
          <w:rFonts w:ascii="Avenir Book" w:hAnsi="Avenir Book"/>
        </w:rPr>
        <w:t>) o niños con ginecomastia precoz.</w:t>
      </w:r>
    </w:p>
    <w:p w14:paraId="6937E2D2" w14:textId="77777777" w:rsidR="00605254" w:rsidRPr="00985558" w:rsidRDefault="00605254" w:rsidP="00985558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Style w:val="Textoennegrita"/>
          <w:rFonts w:ascii="Avenir Book" w:hAnsi="Avenir Book"/>
        </w:rPr>
        <w:t>Amenorrea primaria</w:t>
      </w:r>
      <w:r w:rsidRPr="00985558">
        <w:rPr>
          <w:rFonts w:ascii="Avenir Book" w:hAnsi="Avenir Book"/>
        </w:rPr>
        <w:t xml:space="preserve">: En adolescentes </w:t>
      </w:r>
      <w:proofErr w:type="gramStart"/>
      <w:r w:rsidRPr="00985558">
        <w:rPr>
          <w:rFonts w:ascii="Avenir Book" w:hAnsi="Avenir Book"/>
        </w:rPr>
        <w:t>46,XY</w:t>
      </w:r>
      <w:proofErr w:type="gramEnd"/>
      <w:r w:rsidRPr="00985558">
        <w:rPr>
          <w:rFonts w:ascii="Avenir Book" w:hAnsi="Avenir Book"/>
        </w:rPr>
        <w:t xml:space="preserve"> con fenotipo femenino (síndrome de insensibilidad completa a andrógenos).</w:t>
      </w:r>
    </w:p>
    <w:p w14:paraId="2005903F" w14:textId="77777777" w:rsidR="00605254" w:rsidRPr="00985558" w:rsidRDefault="00605254" w:rsidP="00985558">
      <w:pPr>
        <w:pStyle w:val="Ttulo3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>Gravedad y complejidad variable</w:t>
      </w:r>
    </w:p>
    <w:p w14:paraId="107B8154" w14:textId="62845AE0" w:rsidR="00605254" w:rsidRPr="00985558" w:rsidRDefault="00605254" w:rsidP="00985558">
      <w:pPr>
        <w:pStyle w:val="NormalWeb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No todos los DSD son clínicamente graves ni requieren intervención quirúrgica inmediata. Algunos, como el </w:t>
      </w:r>
      <w:r w:rsidRPr="00985558">
        <w:rPr>
          <w:rStyle w:val="Textoennegrita"/>
          <w:rFonts w:ascii="Avenir Book" w:hAnsi="Avenir Book"/>
        </w:rPr>
        <w:t>hipospadias distal aislado</w:t>
      </w:r>
      <w:r w:rsidRPr="00985558">
        <w:rPr>
          <w:rFonts w:ascii="Avenir Book" w:hAnsi="Avenir Book"/>
        </w:rPr>
        <w:t xml:space="preserve">, pueden ser manejados con </w:t>
      </w:r>
      <w:r w:rsidRPr="00985558">
        <w:rPr>
          <w:rStyle w:val="Textoennegrita"/>
          <w:rFonts w:ascii="Avenir Book" w:hAnsi="Avenir Book"/>
        </w:rPr>
        <w:t>derivación diferida</w:t>
      </w:r>
      <w:r w:rsidRPr="00985558">
        <w:rPr>
          <w:rFonts w:ascii="Avenir Book" w:hAnsi="Avenir Book"/>
        </w:rPr>
        <w:t xml:space="preserve">, mientras que otros, como los </w:t>
      </w:r>
      <w:r w:rsidRPr="00985558">
        <w:rPr>
          <w:rStyle w:val="Textoennegrita"/>
          <w:rFonts w:ascii="Avenir Book" w:hAnsi="Avenir Book"/>
        </w:rPr>
        <w:t>genitales ambiguos severos al nacimiento</w:t>
      </w:r>
      <w:r w:rsidRPr="00985558">
        <w:rPr>
          <w:rFonts w:ascii="Avenir Book" w:hAnsi="Avenir Book"/>
        </w:rPr>
        <w:t xml:space="preserve">, requieren una </w:t>
      </w:r>
      <w:r w:rsidRPr="00985558">
        <w:rPr>
          <w:rStyle w:val="Textoennegrita"/>
          <w:rFonts w:ascii="Avenir Book" w:hAnsi="Avenir Book"/>
        </w:rPr>
        <w:t>valoración urgente coordinada entre neonatología, endocrinología pediátrica y cirugía pediátrica</w:t>
      </w:r>
      <w:r w:rsidRPr="00985558">
        <w:rPr>
          <w:rFonts w:ascii="Avenir Book" w:hAnsi="Avenir Book"/>
        </w:rPr>
        <w:t>.</w:t>
      </w:r>
    </w:p>
    <w:p w14:paraId="6D1D2F15" w14:textId="58A2EC23" w:rsidR="00605254" w:rsidRPr="00985558" w:rsidRDefault="00605254" w:rsidP="00985558">
      <w:pPr>
        <w:jc w:val="both"/>
        <w:rPr>
          <w:rFonts w:ascii="Avenir Book" w:hAnsi="Avenir Book"/>
        </w:rPr>
      </w:pPr>
    </w:p>
    <w:p w14:paraId="13A421FB" w14:textId="77777777" w:rsidR="00605254" w:rsidRPr="00985558" w:rsidRDefault="00605254" w:rsidP="00985558">
      <w:pPr>
        <w:pStyle w:val="Ttulo3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>Papel de Atención Primaria en la clasificación inicial</w:t>
      </w:r>
    </w:p>
    <w:p w14:paraId="1AB85CA6" w14:textId="77777777" w:rsidR="00605254" w:rsidRPr="00985558" w:rsidRDefault="00605254" w:rsidP="00985558">
      <w:pPr>
        <w:pStyle w:val="NormalWeb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Aunque la </w:t>
      </w:r>
      <w:r w:rsidRPr="00985558">
        <w:rPr>
          <w:rStyle w:val="Textoennegrita"/>
          <w:rFonts w:ascii="Avenir Book" w:hAnsi="Avenir Book"/>
        </w:rPr>
        <w:t>confirmación diagnóstica</w:t>
      </w:r>
      <w:r w:rsidRPr="00985558">
        <w:rPr>
          <w:rFonts w:ascii="Avenir Book" w:hAnsi="Avenir Book"/>
        </w:rPr>
        <w:t xml:space="preserve"> corresponde a las </w:t>
      </w:r>
      <w:r w:rsidRPr="00985558">
        <w:rPr>
          <w:rStyle w:val="Textoennegrita"/>
          <w:rFonts w:ascii="Avenir Book" w:hAnsi="Avenir Book"/>
        </w:rPr>
        <w:t>unidades especializadas</w:t>
      </w:r>
      <w:r w:rsidRPr="00985558">
        <w:rPr>
          <w:rFonts w:ascii="Avenir Book" w:hAnsi="Avenir Book"/>
        </w:rPr>
        <w:t>, es fundamental que el médico de atención primaria:</w:t>
      </w:r>
    </w:p>
    <w:p w14:paraId="2DC70434" w14:textId="77777777" w:rsidR="00605254" w:rsidRPr="00985558" w:rsidRDefault="00605254" w:rsidP="00985558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Reconozca </w:t>
      </w:r>
      <w:r w:rsidRPr="00985558">
        <w:rPr>
          <w:rStyle w:val="Textoennegrita"/>
          <w:rFonts w:ascii="Avenir Book" w:hAnsi="Avenir Book"/>
        </w:rPr>
        <w:t>los fenotipos de sospecha</w:t>
      </w:r>
      <w:r w:rsidRPr="00985558">
        <w:rPr>
          <w:rFonts w:ascii="Avenir Book" w:hAnsi="Avenir Book"/>
        </w:rPr>
        <w:t>.</w:t>
      </w:r>
    </w:p>
    <w:p w14:paraId="46F905B3" w14:textId="77777777" w:rsidR="00605254" w:rsidRPr="00985558" w:rsidRDefault="00605254" w:rsidP="00985558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>No emita diagnósticos prematuros (evitar términos como "hermafrodita" o "malformación sexual").</w:t>
      </w:r>
    </w:p>
    <w:p w14:paraId="5A5C7074" w14:textId="77777777" w:rsidR="00605254" w:rsidRPr="00985558" w:rsidRDefault="00605254" w:rsidP="00985558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Utilice el término </w:t>
      </w:r>
      <w:r w:rsidRPr="00985558">
        <w:rPr>
          <w:rStyle w:val="Textoennegrita"/>
          <w:rFonts w:ascii="Avenir Book" w:hAnsi="Avenir Book"/>
        </w:rPr>
        <w:t>DSD</w:t>
      </w:r>
      <w:r w:rsidRPr="00985558">
        <w:rPr>
          <w:rFonts w:ascii="Avenir Book" w:hAnsi="Avenir Book"/>
        </w:rPr>
        <w:t xml:space="preserve"> o </w:t>
      </w:r>
      <w:r w:rsidRPr="00985558">
        <w:rPr>
          <w:rStyle w:val="Textoennegrita"/>
          <w:rFonts w:ascii="Avenir Book" w:hAnsi="Avenir Book"/>
        </w:rPr>
        <w:t>alteración del desarrollo sexual</w:t>
      </w:r>
      <w:r w:rsidRPr="00985558">
        <w:rPr>
          <w:rFonts w:ascii="Avenir Book" w:hAnsi="Avenir Book"/>
        </w:rPr>
        <w:t xml:space="preserve"> al hablar con la familia.</w:t>
      </w:r>
    </w:p>
    <w:p w14:paraId="2752F679" w14:textId="77777777" w:rsidR="00605254" w:rsidRPr="00985558" w:rsidRDefault="00605254" w:rsidP="00985558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Explique que existen </w:t>
      </w:r>
      <w:r w:rsidRPr="00985558">
        <w:rPr>
          <w:rStyle w:val="Textoennegrita"/>
          <w:rFonts w:ascii="Avenir Book" w:hAnsi="Avenir Book"/>
        </w:rPr>
        <w:t>diferentes grados de complejidad</w:t>
      </w:r>
      <w:r w:rsidRPr="00985558">
        <w:rPr>
          <w:rFonts w:ascii="Avenir Book" w:hAnsi="Avenir Book"/>
        </w:rPr>
        <w:t xml:space="preserve"> dentro de los DSD.</w:t>
      </w:r>
    </w:p>
    <w:p w14:paraId="6016DE2D" w14:textId="54C03C70" w:rsidR="00605254" w:rsidRPr="00985558" w:rsidRDefault="00605254" w:rsidP="00985558">
      <w:pPr>
        <w:jc w:val="both"/>
        <w:rPr>
          <w:rFonts w:ascii="Avenir Book" w:hAnsi="Avenir Book"/>
        </w:rPr>
      </w:pPr>
    </w:p>
    <w:p w14:paraId="68565856" w14:textId="77777777" w:rsidR="00605254" w:rsidRPr="00985558" w:rsidRDefault="00605254" w:rsidP="00985558">
      <w:pPr>
        <w:pStyle w:val="Ttulo2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>3. Prevalencia y datos actuales</w:t>
      </w:r>
    </w:p>
    <w:p w14:paraId="5387BBF9" w14:textId="77777777" w:rsidR="00605254" w:rsidRPr="00985558" w:rsidRDefault="00605254" w:rsidP="00985558">
      <w:pPr>
        <w:pStyle w:val="NormalWeb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Los </w:t>
      </w:r>
      <w:r w:rsidRPr="00985558">
        <w:rPr>
          <w:rStyle w:val="Textoennegrita"/>
          <w:rFonts w:ascii="Avenir Book" w:hAnsi="Avenir Book"/>
        </w:rPr>
        <w:t>trastornos del desarrollo sexual (DSD)</w:t>
      </w:r>
      <w:r w:rsidRPr="00985558">
        <w:rPr>
          <w:rFonts w:ascii="Avenir Book" w:hAnsi="Avenir Book"/>
        </w:rPr>
        <w:t xml:space="preserve"> son </w:t>
      </w:r>
      <w:r w:rsidRPr="00985558">
        <w:rPr>
          <w:rStyle w:val="Textoennegrita"/>
          <w:rFonts w:ascii="Avenir Book" w:hAnsi="Avenir Book"/>
        </w:rPr>
        <w:t>condiciones poco frecuentes</w:t>
      </w:r>
      <w:r w:rsidRPr="00985558">
        <w:rPr>
          <w:rFonts w:ascii="Avenir Book" w:hAnsi="Avenir Book"/>
        </w:rPr>
        <w:t>, pero no excepcionales. La prevalencia global estimada varía dependiendo de la definición empleada y del rango de condiciones que se incluyan dentro del término DSD. De manera general, se estima que afectan a aproximadamente:</w:t>
      </w:r>
    </w:p>
    <w:p w14:paraId="19432C68" w14:textId="77777777" w:rsidR="00605254" w:rsidRPr="00985558" w:rsidRDefault="00605254" w:rsidP="00985558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Style w:val="Textoennegrita"/>
          <w:rFonts w:ascii="Avenir Book" w:hAnsi="Avenir Book"/>
        </w:rPr>
        <w:lastRenderedPageBreak/>
        <w:t>1 de cada 4.500 recién nacidos vivos</w:t>
      </w:r>
      <w:r w:rsidRPr="00985558">
        <w:rPr>
          <w:rFonts w:ascii="Avenir Book" w:hAnsi="Avenir Book"/>
        </w:rPr>
        <w:t xml:space="preserve"> cuando se consideran solo los casos con </w:t>
      </w:r>
      <w:r w:rsidRPr="00985558">
        <w:rPr>
          <w:rStyle w:val="Textoennegrita"/>
          <w:rFonts w:ascii="Avenir Book" w:hAnsi="Avenir Book"/>
        </w:rPr>
        <w:t>genitales ambiguos clínicamente evidentes al nacimiento</w:t>
      </w:r>
      <w:r w:rsidRPr="00985558">
        <w:rPr>
          <w:rFonts w:ascii="Avenir Book" w:hAnsi="Avenir Book"/>
        </w:rPr>
        <w:t>.</w:t>
      </w:r>
    </w:p>
    <w:p w14:paraId="410B494E" w14:textId="77777777" w:rsidR="00605254" w:rsidRPr="00985558" w:rsidRDefault="00605254" w:rsidP="00985558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Si se amplía la definición para incluir </w:t>
      </w:r>
      <w:r w:rsidRPr="00985558">
        <w:rPr>
          <w:rStyle w:val="Textoennegrita"/>
          <w:rFonts w:ascii="Avenir Book" w:hAnsi="Avenir Book"/>
        </w:rPr>
        <w:t>todas las alteraciones del desarrollo gonadal o genital</w:t>
      </w:r>
      <w:r w:rsidRPr="00985558">
        <w:rPr>
          <w:rFonts w:ascii="Avenir Book" w:hAnsi="Avenir Book"/>
        </w:rPr>
        <w:t xml:space="preserve">, incluyendo hipospadias severas, disgenesias gonadales detectadas en la adolescencia y condiciones de diagnóstico tardío como el síndrome de insensibilidad androgénica, la prevalencia puede acercarse a </w:t>
      </w:r>
      <w:r w:rsidRPr="00985558">
        <w:rPr>
          <w:rStyle w:val="Textoennegrita"/>
          <w:rFonts w:ascii="Avenir Book" w:hAnsi="Avenir Book"/>
        </w:rPr>
        <w:t>1 de cada 2.000 recién nacidos</w:t>
      </w:r>
      <w:r w:rsidRPr="00985558">
        <w:rPr>
          <w:rFonts w:ascii="Avenir Book" w:hAnsi="Avenir Book"/>
        </w:rPr>
        <w:t>.</w:t>
      </w:r>
    </w:p>
    <w:p w14:paraId="6907FFAA" w14:textId="77777777" w:rsidR="00605254" w:rsidRPr="00985558" w:rsidRDefault="00605254" w:rsidP="00985558">
      <w:pPr>
        <w:pStyle w:val="Ttulo3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>Prevalencia según tipo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5"/>
        <w:gridCol w:w="4113"/>
      </w:tblGrid>
      <w:tr w:rsidR="00605254" w:rsidRPr="00985558" w14:paraId="2292D5A9" w14:textId="77777777" w:rsidTr="006052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2E7FDCA" w14:textId="77777777" w:rsidR="00605254" w:rsidRPr="00985558" w:rsidRDefault="00605254" w:rsidP="00985558">
            <w:pPr>
              <w:jc w:val="both"/>
              <w:rPr>
                <w:rFonts w:ascii="Avenir Book" w:hAnsi="Avenir Book"/>
                <w:b/>
                <w:bCs/>
              </w:rPr>
            </w:pPr>
            <w:r w:rsidRPr="00985558">
              <w:rPr>
                <w:rFonts w:ascii="Avenir Book" w:hAnsi="Avenir Book"/>
                <w:b/>
                <w:bCs/>
              </w:rPr>
              <w:t>Tipo de DSD</w:t>
            </w:r>
          </w:p>
        </w:tc>
        <w:tc>
          <w:tcPr>
            <w:tcW w:w="0" w:type="auto"/>
            <w:vAlign w:val="center"/>
            <w:hideMark/>
          </w:tcPr>
          <w:p w14:paraId="490010D7" w14:textId="77777777" w:rsidR="00605254" w:rsidRPr="00985558" w:rsidRDefault="00605254" w:rsidP="00985558">
            <w:pPr>
              <w:jc w:val="both"/>
              <w:rPr>
                <w:rFonts w:ascii="Avenir Book" w:hAnsi="Avenir Book"/>
                <w:b/>
                <w:bCs/>
              </w:rPr>
            </w:pPr>
            <w:r w:rsidRPr="00985558">
              <w:rPr>
                <w:rFonts w:ascii="Avenir Book" w:hAnsi="Avenir Book"/>
                <w:b/>
                <w:bCs/>
              </w:rPr>
              <w:t>Prevalencia aproximada</w:t>
            </w:r>
          </w:p>
        </w:tc>
      </w:tr>
      <w:tr w:rsidR="00605254" w:rsidRPr="00985558" w14:paraId="39235426" w14:textId="77777777" w:rsidTr="006052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1B67CB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Fonts w:ascii="Avenir Book" w:hAnsi="Avenir Book"/>
              </w:rPr>
              <w:t>Genitales ambiguos al nacimiento</w:t>
            </w:r>
          </w:p>
        </w:tc>
        <w:tc>
          <w:tcPr>
            <w:tcW w:w="0" w:type="auto"/>
            <w:vAlign w:val="center"/>
            <w:hideMark/>
          </w:tcPr>
          <w:p w14:paraId="1469C7D1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Fonts w:ascii="Avenir Book" w:hAnsi="Avenir Book"/>
              </w:rPr>
              <w:t>1 por cada 4.500 nacidos vivos</w:t>
            </w:r>
          </w:p>
        </w:tc>
      </w:tr>
      <w:tr w:rsidR="00605254" w:rsidRPr="00985558" w14:paraId="487AEFC0" w14:textId="77777777" w:rsidTr="006052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00AA0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Fonts w:ascii="Avenir Book" w:hAnsi="Avenir Book"/>
              </w:rPr>
              <w:t>Hiperplasia suprarrenal congénita (HSC)</w:t>
            </w:r>
          </w:p>
        </w:tc>
        <w:tc>
          <w:tcPr>
            <w:tcW w:w="0" w:type="auto"/>
            <w:vAlign w:val="center"/>
            <w:hideMark/>
          </w:tcPr>
          <w:p w14:paraId="4E846747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Fonts w:ascii="Avenir Book" w:hAnsi="Avenir Book"/>
              </w:rPr>
              <w:t>1 por cada 15.000 nacidos (varía según región)</w:t>
            </w:r>
          </w:p>
        </w:tc>
      </w:tr>
      <w:tr w:rsidR="00605254" w:rsidRPr="00985558" w14:paraId="552A1A07" w14:textId="77777777" w:rsidTr="006052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4C743D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Fonts w:ascii="Avenir Book" w:hAnsi="Avenir Book"/>
              </w:rPr>
              <w:t>Síndrome de insensibilidad androgénica (CAIS y PAIS)</w:t>
            </w:r>
          </w:p>
        </w:tc>
        <w:tc>
          <w:tcPr>
            <w:tcW w:w="0" w:type="auto"/>
            <w:vAlign w:val="center"/>
            <w:hideMark/>
          </w:tcPr>
          <w:p w14:paraId="231419AF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Fonts w:ascii="Avenir Book" w:hAnsi="Avenir Book"/>
              </w:rPr>
              <w:t>1 por cada 20.000-50.000 nacidos</w:t>
            </w:r>
          </w:p>
        </w:tc>
      </w:tr>
      <w:tr w:rsidR="00605254" w:rsidRPr="00985558" w14:paraId="3DB4AEBD" w14:textId="77777777" w:rsidTr="006052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55503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Fonts w:ascii="Avenir Book" w:hAnsi="Avenir Book"/>
              </w:rPr>
              <w:t>Disgenesia gonadal completa</w:t>
            </w:r>
          </w:p>
        </w:tc>
        <w:tc>
          <w:tcPr>
            <w:tcW w:w="0" w:type="auto"/>
            <w:vAlign w:val="center"/>
            <w:hideMark/>
          </w:tcPr>
          <w:p w14:paraId="580B1F18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Fonts w:ascii="Avenir Book" w:hAnsi="Avenir Book"/>
              </w:rPr>
              <w:t>1 por cada 100.000 nacidos</w:t>
            </w:r>
          </w:p>
        </w:tc>
      </w:tr>
      <w:tr w:rsidR="00605254" w:rsidRPr="00985558" w14:paraId="6548FCF0" w14:textId="77777777" w:rsidTr="006052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A06C63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Fonts w:ascii="Avenir Book" w:hAnsi="Avenir Book"/>
              </w:rPr>
              <w:t>Hipospadias severa asociada a DSD</w:t>
            </w:r>
          </w:p>
        </w:tc>
        <w:tc>
          <w:tcPr>
            <w:tcW w:w="0" w:type="auto"/>
            <w:vAlign w:val="center"/>
            <w:hideMark/>
          </w:tcPr>
          <w:p w14:paraId="406B091A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Fonts w:ascii="Avenir Book" w:hAnsi="Avenir Book"/>
              </w:rPr>
              <w:t>1 por cada 3.000 nacidos varones</w:t>
            </w:r>
          </w:p>
        </w:tc>
      </w:tr>
    </w:tbl>
    <w:p w14:paraId="3C1C82DE" w14:textId="6DDB71F9" w:rsidR="00605254" w:rsidRPr="00985558" w:rsidRDefault="00605254" w:rsidP="00985558">
      <w:pPr>
        <w:jc w:val="both"/>
        <w:rPr>
          <w:rFonts w:ascii="Avenir Book" w:hAnsi="Avenir Book"/>
        </w:rPr>
      </w:pPr>
    </w:p>
    <w:p w14:paraId="021806D8" w14:textId="77777777" w:rsidR="00605254" w:rsidRPr="00985558" w:rsidRDefault="00605254" w:rsidP="00985558">
      <w:pPr>
        <w:pStyle w:val="Ttulo3"/>
        <w:jc w:val="both"/>
        <w:rPr>
          <w:rFonts w:ascii="Avenir Book" w:hAnsi="Avenir Book"/>
        </w:rPr>
      </w:pPr>
    </w:p>
    <w:p w14:paraId="2CD545E8" w14:textId="16B03CC5" w:rsidR="00605254" w:rsidRPr="00985558" w:rsidRDefault="00605254" w:rsidP="00985558">
      <w:pPr>
        <w:pStyle w:val="Ttulo3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>Situación en España</w:t>
      </w:r>
    </w:p>
    <w:p w14:paraId="0CE7A529" w14:textId="77777777" w:rsidR="00605254" w:rsidRPr="00985558" w:rsidRDefault="00605254" w:rsidP="00985558">
      <w:pPr>
        <w:pStyle w:val="NormalWeb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En España, la existencia de </w:t>
      </w:r>
      <w:r w:rsidRPr="00985558">
        <w:rPr>
          <w:rStyle w:val="Textoennegrita"/>
          <w:rFonts w:ascii="Avenir Book" w:hAnsi="Avenir Book"/>
        </w:rPr>
        <w:t>CSUR (Centros, Servicios y Unidades de Referencia)</w:t>
      </w:r>
      <w:r w:rsidRPr="00985558">
        <w:rPr>
          <w:rFonts w:ascii="Avenir Book" w:hAnsi="Avenir Book"/>
        </w:rPr>
        <w:t xml:space="preserve"> permite una mejor </w:t>
      </w:r>
      <w:r w:rsidRPr="00985558">
        <w:rPr>
          <w:rStyle w:val="Textoennegrita"/>
          <w:rFonts w:ascii="Avenir Book" w:hAnsi="Avenir Book"/>
        </w:rPr>
        <w:t>identificación y registro</w:t>
      </w:r>
      <w:r w:rsidRPr="00985558">
        <w:rPr>
          <w:rFonts w:ascii="Avenir Book" w:hAnsi="Avenir Book"/>
        </w:rPr>
        <w:t xml:space="preserve"> de los casos, aunque sigue habiendo </w:t>
      </w:r>
      <w:proofErr w:type="spellStart"/>
      <w:r w:rsidRPr="00985558">
        <w:rPr>
          <w:rStyle w:val="Textoennegrita"/>
          <w:rFonts w:ascii="Avenir Book" w:hAnsi="Avenir Book"/>
        </w:rPr>
        <w:t>infraregistro</w:t>
      </w:r>
      <w:proofErr w:type="spellEnd"/>
      <w:r w:rsidRPr="00985558">
        <w:rPr>
          <w:rFonts w:ascii="Avenir Book" w:hAnsi="Avenir Book"/>
        </w:rPr>
        <w:t xml:space="preserve">, especialmente de variantes menos evidentes, como algunas formas leves de </w:t>
      </w:r>
      <w:r w:rsidRPr="00985558">
        <w:rPr>
          <w:rStyle w:val="Textoennegrita"/>
          <w:rFonts w:ascii="Avenir Book" w:hAnsi="Avenir Book"/>
        </w:rPr>
        <w:t xml:space="preserve">DSD </w:t>
      </w:r>
      <w:proofErr w:type="gramStart"/>
      <w:r w:rsidRPr="00985558">
        <w:rPr>
          <w:rStyle w:val="Textoennegrita"/>
          <w:rFonts w:ascii="Avenir Book" w:hAnsi="Avenir Book"/>
        </w:rPr>
        <w:t>46,XY</w:t>
      </w:r>
      <w:proofErr w:type="gramEnd"/>
      <w:r w:rsidRPr="00985558">
        <w:rPr>
          <w:rFonts w:ascii="Avenir Book" w:hAnsi="Avenir Book"/>
        </w:rPr>
        <w:t xml:space="preserve"> o </w:t>
      </w:r>
      <w:r w:rsidRPr="00985558">
        <w:rPr>
          <w:rStyle w:val="Textoennegrita"/>
          <w:rFonts w:ascii="Avenir Book" w:hAnsi="Avenir Book"/>
        </w:rPr>
        <w:t>hiperplasia suprarrenal congénita de inicio tardío</w:t>
      </w:r>
      <w:r w:rsidRPr="00985558">
        <w:rPr>
          <w:rFonts w:ascii="Avenir Book" w:hAnsi="Avenir Book"/>
        </w:rPr>
        <w:t>. Las comunidades autónomas con registros específicos muestran cifras similares a las de otros países europeos.</w:t>
      </w:r>
    </w:p>
    <w:p w14:paraId="2DB7BB23" w14:textId="6ECB4590" w:rsidR="00605254" w:rsidRPr="00985558" w:rsidRDefault="00605254" w:rsidP="00985558">
      <w:pPr>
        <w:jc w:val="both"/>
        <w:rPr>
          <w:rFonts w:ascii="Avenir Book" w:hAnsi="Avenir Book"/>
        </w:rPr>
      </w:pPr>
    </w:p>
    <w:p w14:paraId="7C92EBC1" w14:textId="77777777" w:rsidR="00605254" w:rsidRPr="00985558" w:rsidRDefault="00605254" w:rsidP="00985558">
      <w:pPr>
        <w:pStyle w:val="Ttulo3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>Relevancia de conocer la prevalencia en Atención Primaria</w:t>
      </w:r>
    </w:p>
    <w:p w14:paraId="2B6B343D" w14:textId="77777777" w:rsidR="00605254" w:rsidRPr="00985558" w:rsidRDefault="00605254" w:rsidP="00985558">
      <w:pPr>
        <w:pStyle w:val="NormalWeb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Aunque los DSD son considerados </w:t>
      </w:r>
      <w:r w:rsidRPr="00985558">
        <w:rPr>
          <w:rStyle w:val="Textoennegrita"/>
          <w:rFonts w:ascii="Avenir Book" w:hAnsi="Avenir Book"/>
        </w:rPr>
        <w:t>enfermedades raras</w:t>
      </w:r>
      <w:r w:rsidRPr="00985558">
        <w:rPr>
          <w:rFonts w:ascii="Avenir Book" w:hAnsi="Avenir Book"/>
        </w:rPr>
        <w:t xml:space="preserve">, es probable que un pediatra de atención primaria o un médico de familia con amplia experiencia atienda </w:t>
      </w:r>
      <w:r w:rsidRPr="00985558">
        <w:rPr>
          <w:rStyle w:val="Textoennegrita"/>
          <w:rFonts w:ascii="Avenir Book" w:hAnsi="Avenir Book"/>
        </w:rPr>
        <w:t>algún caso sospechoso a lo largo de su carrera</w:t>
      </w:r>
      <w:r w:rsidRPr="00985558">
        <w:rPr>
          <w:rFonts w:ascii="Avenir Book" w:hAnsi="Avenir Book"/>
        </w:rPr>
        <w:t>. Por tanto, es clave:</w:t>
      </w:r>
    </w:p>
    <w:p w14:paraId="4ABFDC01" w14:textId="77777777" w:rsidR="00605254" w:rsidRPr="00985558" w:rsidRDefault="00605254" w:rsidP="0098555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lastRenderedPageBreak/>
        <w:t xml:space="preserve">Conocer los </w:t>
      </w:r>
      <w:r w:rsidRPr="00985558">
        <w:rPr>
          <w:rStyle w:val="Textoennegrita"/>
          <w:rFonts w:ascii="Avenir Book" w:hAnsi="Avenir Book"/>
        </w:rPr>
        <w:t>fenotipos de sospecha</w:t>
      </w:r>
      <w:r w:rsidRPr="00985558">
        <w:rPr>
          <w:rFonts w:ascii="Avenir Book" w:hAnsi="Avenir Book"/>
        </w:rPr>
        <w:t>.</w:t>
      </w:r>
    </w:p>
    <w:p w14:paraId="3D67F605" w14:textId="77777777" w:rsidR="00605254" w:rsidRPr="00985558" w:rsidRDefault="00605254" w:rsidP="0098555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Saber que los DSD </w:t>
      </w:r>
      <w:r w:rsidRPr="00985558">
        <w:rPr>
          <w:rStyle w:val="Textoennegrita"/>
          <w:rFonts w:ascii="Avenir Book" w:hAnsi="Avenir Book"/>
        </w:rPr>
        <w:t>no son excepcionales</w:t>
      </w:r>
      <w:r w:rsidRPr="00985558">
        <w:rPr>
          <w:rFonts w:ascii="Avenir Book" w:hAnsi="Avenir Book"/>
        </w:rPr>
        <w:t>, y que su manejo precoz mejora el pronóstico global.</w:t>
      </w:r>
    </w:p>
    <w:p w14:paraId="5855E79F" w14:textId="77777777" w:rsidR="00605254" w:rsidRPr="00985558" w:rsidRDefault="00605254" w:rsidP="00985558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Entender que el </w:t>
      </w:r>
      <w:r w:rsidRPr="00985558">
        <w:rPr>
          <w:rStyle w:val="Textoennegrita"/>
          <w:rFonts w:ascii="Avenir Book" w:hAnsi="Avenir Book"/>
        </w:rPr>
        <w:t>desarrollo sexual es un continuo</w:t>
      </w:r>
      <w:r w:rsidRPr="00985558">
        <w:rPr>
          <w:rFonts w:ascii="Avenir Book" w:hAnsi="Avenir Book"/>
        </w:rPr>
        <w:t xml:space="preserve">, y que hay </w:t>
      </w:r>
      <w:r w:rsidRPr="00985558">
        <w:rPr>
          <w:rStyle w:val="Textoennegrita"/>
          <w:rFonts w:ascii="Avenir Book" w:hAnsi="Avenir Book"/>
        </w:rPr>
        <w:t>variaciones dentro de la normalidad</w:t>
      </w:r>
      <w:r w:rsidRPr="00985558">
        <w:rPr>
          <w:rFonts w:ascii="Avenir Book" w:hAnsi="Avenir Book"/>
        </w:rPr>
        <w:t xml:space="preserve"> que no son patológicas.</w:t>
      </w:r>
    </w:p>
    <w:p w14:paraId="72A39560" w14:textId="07388EE5" w:rsidR="00605254" w:rsidRPr="00985558" w:rsidRDefault="00605254" w:rsidP="00985558">
      <w:pPr>
        <w:jc w:val="both"/>
        <w:rPr>
          <w:rFonts w:ascii="Avenir Book" w:hAnsi="Avenir Book"/>
        </w:rPr>
      </w:pPr>
    </w:p>
    <w:p w14:paraId="08A6832F" w14:textId="77777777" w:rsidR="00605254" w:rsidRPr="00985558" w:rsidRDefault="00605254" w:rsidP="00985558">
      <w:pPr>
        <w:pStyle w:val="Ttulo2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>4. Relevancia del diagnóstico precoz desde Atención Primaria</w:t>
      </w:r>
    </w:p>
    <w:p w14:paraId="77034690" w14:textId="77777777" w:rsidR="00605254" w:rsidRPr="00985558" w:rsidRDefault="00605254" w:rsidP="00985558">
      <w:pPr>
        <w:pStyle w:val="NormalWeb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El papel de la </w:t>
      </w:r>
      <w:r w:rsidRPr="00985558">
        <w:rPr>
          <w:rStyle w:val="Textoennegrita"/>
          <w:rFonts w:ascii="Avenir Book" w:hAnsi="Avenir Book"/>
        </w:rPr>
        <w:t>atención primaria</w:t>
      </w:r>
      <w:r w:rsidRPr="00985558">
        <w:rPr>
          <w:rFonts w:ascii="Avenir Book" w:hAnsi="Avenir Book"/>
        </w:rPr>
        <w:t xml:space="preserve"> en la detección precoz de los DSD es </w:t>
      </w:r>
      <w:r w:rsidRPr="00985558">
        <w:rPr>
          <w:rStyle w:val="Textoennegrita"/>
          <w:rFonts w:ascii="Avenir Book" w:hAnsi="Avenir Book"/>
        </w:rPr>
        <w:t>crucial</w:t>
      </w:r>
      <w:r w:rsidRPr="00985558">
        <w:rPr>
          <w:rFonts w:ascii="Avenir Book" w:hAnsi="Avenir Book"/>
        </w:rPr>
        <w:t xml:space="preserve">. En muchos casos, especialmente aquellos que se presentan en el periodo neonatal, </w:t>
      </w:r>
      <w:r w:rsidRPr="00985558">
        <w:rPr>
          <w:rStyle w:val="Textoennegrita"/>
          <w:rFonts w:ascii="Avenir Book" w:hAnsi="Avenir Book"/>
        </w:rPr>
        <w:t>el médico de atención primaria es el primer contacto sanitario fuera del hospital</w:t>
      </w:r>
      <w:r w:rsidRPr="00985558">
        <w:rPr>
          <w:rFonts w:ascii="Avenir Book" w:hAnsi="Avenir Book"/>
        </w:rPr>
        <w:t>, por lo que debe ser capaz de:</w:t>
      </w:r>
    </w:p>
    <w:p w14:paraId="53B6EDC2" w14:textId="77777777" w:rsidR="00605254" w:rsidRPr="00985558" w:rsidRDefault="00605254" w:rsidP="00985558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Style w:val="Textoennegrita"/>
          <w:rFonts w:ascii="Avenir Book" w:hAnsi="Avenir Book"/>
        </w:rPr>
        <w:t>Identificar signos de alerta iniciales.</w:t>
      </w:r>
    </w:p>
    <w:p w14:paraId="2BCC179A" w14:textId="77777777" w:rsidR="00605254" w:rsidRPr="00985558" w:rsidRDefault="00605254" w:rsidP="00985558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Style w:val="Textoennegrita"/>
          <w:rFonts w:ascii="Avenir Book" w:hAnsi="Avenir Book"/>
        </w:rPr>
        <w:t>No minimizar ni normalizar signos atípicos</w:t>
      </w:r>
      <w:r w:rsidRPr="00985558">
        <w:rPr>
          <w:rFonts w:ascii="Avenir Book" w:hAnsi="Avenir Book"/>
        </w:rPr>
        <w:t xml:space="preserve"> como una criptorquidia bilateral, un hipospadias severo o un clítoris ligeramente prominente.</w:t>
      </w:r>
    </w:p>
    <w:p w14:paraId="4FB2268B" w14:textId="77777777" w:rsidR="00605254" w:rsidRPr="00985558" w:rsidRDefault="00605254" w:rsidP="00985558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Garantizar una </w:t>
      </w:r>
      <w:r w:rsidRPr="00985558">
        <w:rPr>
          <w:rStyle w:val="Textoennegrita"/>
          <w:rFonts w:ascii="Avenir Book" w:hAnsi="Avenir Book"/>
        </w:rPr>
        <w:t>derivación precoz y correctamente orientada</w:t>
      </w:r>
      <w:r w:rsidRPr="00985558">
        <w:rPr>
          <w:rFonts w:ascii="Avenir Book" w:hAnsi="Avenir Book"/>
        </w:rPr>
        <w:t>.</w:t>
      </w:r>
    </w:p>
    <w:p w14:paraId="007D73CC" w14:textId="77777777" w:rsidR="00605254" w:rsidRPr="00985558" w:rsidRDefault="00605254" w:rsidP="00985558">
      <w:pPr>
        <w:pStyle w:val="Ttulo3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>¿Por qué es tan importante la detección precoz?</w:t>
      </w:r>
    </w:p>
    <w:p w14:paraId="67D00FA8" w14:textId="77777777" w:rsidR="00605254" w:rsidRPr="00985558" w:rsidRDefault="00605254" w:rsidP="00985558">
      <w:pPr>
        <w:pStyle w:val="NormalWeb"/>
        <w:numPr>
          <w:ilvl w:val="0"/>
          <w:numId w:val="30"/>
        </w:numPr>
        <w:jc w:val="both"/>
        <w:rPr>
          <w:rFonts w:ascii="Avenir Book" w:hAnsi="Avenir Book"/>
        </w:rPr>
      </w:pPr>
      <w:r w:rsidRPr="00985558">
        <w:rPr>
          <w:rStyle w:val="Textoennegrita"/>
          <w:rFonts w:ascii="Avenir Book" w:hAnsi="Avenir Book"/>
        </w:rPr>
        <w:t>Diagnóstico molecular preciso</w:t>
      </w:r>
      <w:r w:rsidRPr="00985558">
        <w:rPr>
          <w:rFonts w:ascii="Avenir Book" w:hAnsi="Avenir Book"/>
        </w:rPr>
        <w:br/>
        <w:t xml:space="preserve">Cuanto antes se acceda al diagnóstico genético y hormonal, antes se podrán </w:t>
      </w:r>
      <w:r w:rsidRPr="00985558">
        <w:rPr>
          <w:rStyle w:val="Textoennegrita"/>
          <w:rFonts w:ascii="Avenir Book" w:hAnsi="Avenir Book"/>
        </w:rPr>
        <w:t>tomar decisiones clínicas y familiares ajustadas a cada caso</w:t>
      </w:r>
      <w:r w:rsidRPr="00985558">
        <w:rPr>
          <w:rFonts w:ascii="Avenir Book" w:hAnsi="Avenir Book"/>
        </w:rPr>
        <w:t>.</w:t>
      </w:r>
    </w:p>
    <w:p w14:paraId="33F582DD" w14:textId="77777777" w:rsidR="00605254" w:rsidRPr="00985558" w:rsidRDefault="00605254" w:rsidP="00985558">
      <w:pPr>
        <w:pStyle w:val="NormalWeb"/>
        <w:numPr>
          <w:ilvl w:val="0"/>
          <w:numId w:val="30"/>
        </w:numPr>
        <w:jc w:val="both"/>
        <w:rPr>
          <w:rFonts w:ascii="Avenir Book" w:hAnsi="Avenir Book"/>
        </w:rPr>
      </w:pPr>
      <w:r w:rsidRPr="00985558">
        <w:rPr>
          <w:rStyle w:val="Textoennegrita"/>
          <w:rFonts w:ascii="Avenir Book" w:hAnsi="Avenir Book"/>
        </w:rPr>
        <w:t>Prevención de crisis suprarrenales</w:t>
      </w:r>
      <w:r w:rsidRPr="00985558">
        <w:rPr>
          <w:rFonts w:ascii="Avenir Book" w:hAnsi="Avenir Book"/>
        </w:rPr>
        <w:br/>
        <w:t xml:space="preserve">En casos como la </w:t>
      </w:r>
      <w:r w:rsidRPr="00985558">
        <w:rPr>
          <w:rStyle w:val="Textoennegrita"/>
          <w:rFonts w:ascii="Avenir Book" w:hAnsi="Avenir Book"/>
        </w:rPr>
        <w:t>hiperplasia suprarrenal congénita (HSC)</w:t>
      </w:r>
      <w:r w:rsidRPr="00985558">
        <w:rPr>
          <w:rFonts w:ascii="Avenir Book" w:hAnsi="Avenir Book"/>
        </w:rPr>
        <w:t xml:space="preserve">, el diagnóstico precoz puede ser </w:t>
      </w:r>
      <w:r w:rsidRPr="00985558">
        <w:rPr>
          <w:rStyle w:val="Textoennegrita"/>
          <w:rFonts w:ascii="Avenir Book" w:hAnsi="Avenir Book"/>
        </w:rPr>
        <w:t>vital</w:t>
      </w:r>
      <w:r w:rsidRPr="00985558">
        <w:rPr>
          <w:rFonts w:ascii="Avenir Book" w:hAnsi="Avenir Book"/>
        </w:rPr>
        <w:t xml:space="preserve">, al permitir </w:t>
      </w:r>
      <w:r w:rsidRPr="00985558">
        <w:rPr>
          <w:rStyle w:val="Textoennegrita"/>
          <w:rFonts w:ascii="Avenir Book" w:hAnsi="Avenir Book"/>
        </w:rPr>
        <w:t>iniciar tratamiento sustitutivo precoz</w:t>
      </w:r>
      <w:r w:rsidRPr="00985558">
        <w:rPr>
          <w:rFonts w:ascii="Avenir Book" w:hAnsi="Avenir Book"/>
        </w:rPr>
        <w:t xml:space="preserve"> y evitar crisis de pérdida de sal potencialmente mortales.</w:t>
      </w:r>
    </w:p>
    <w:p w14:paraId="6CAA2DA0" w14:textId="77777777" w:rsidR="00605254" w:rsidRPr="00985558" w:rsidRDefault="00605254" w:rsidP="00985558">
      <w:pPr>
        <w:pStyle w:val="NormalWeb"/>
        <w:numPr>
          <w:ilvl w:val="0"/>
          <w:numId w:val="30"/>
        </w:numPr>
        <w:jc w:val="both"/>
        <w:rPr>
          <w:rFonts w:ascii="Avenir Book" w:hAnsi="Avenir Book"/>
        </w:rPr>
      </w:pPr>
      <w:r w:rsidRPr="00985558">
        <w:rPr>
          <w:rStyle w:val="Textoennegrita"/>
          <w:rFonts w:ascii="Avenir Book" w:hAnsi="Avenir Book"/>
        </w:rPr>
        <w:t>Evitar asignación sexual apresurada</w:t>
      </w:r>
      <w:r w:rsidRPr="00985558">
        <w:rPr>
          <w:rFonts w:ascii="Avenir Book" w:hAnsi="Avenir Book"/>
        </w:rPr>
        <w:br/>
        <w:t xml:space="preserve">En casos de </w:t>
      </w:r>
      <w:r w:rsidRPr="00985558">
        <w:rPr>
          <w:rStyle w:val="Textoennegrita"/>
          <w:rFonts w:ascii="Avenir Book" w:hAnsi="Avenir Book"/>
        </w:rPr>
        <w:t>genitales ambiguos</w:t>
      </w:r>
      <w:r w:rsidRPr="00985558">
        <w:rPr>
          <w:rFonts w:ascii="Avenir Book" w:hAnsi="Avenir Book"/>
        </w:rPr>
        <w:t xml:space="preserve">, la presión social por "poner un nombre y un sexo" puede llevar a decisiones precipitadas. La detección precoz y la orientación adecuada evitan que las familias </w:t>
      </w:r>
      <w:r w:rsidRPr="00985558">
        <w:rPr>
          <w:rStyle w:val="Textoennegrita"/>
          <w:rFonts w:ascii="Avenir Book" w:hAnsi="Avenir Book"/>
        </w:rPr>
        <w:t>se sientan obligadas</w:t>
      </w:r>
      <w:r w:rsidRPr="00985558">
        <w:rPr>
          <w:rFonts w:ascii="Avenir Book" w:hAnsi="Avenir Book"/>
        </w:rPr>
        <w:t xml:space="preserve"> a decidir antes de contar con toda la información necesaria.</w:t>
      </w:r>
    </w:p>
    <w:p w14:paraId="57A54F0E" w14:textId="77777777" w:rsidR="00605254" w:rsidRPr="00985558" w:rsidRDefault="00605254" w:rsidP="00985558">
      <w:pPr>
        <w:pStyle w:val="NormalWeb"/>
        <w:numPr>
          <w:ilvl w:val="0"/>
          <w:numId w:val="30"/>
        </w:numPr>
        <w:jc w:val="both"/>
        <w:rPr>
          <w:rFonts w:ascii="Avenir Book" w:hAnsi="Avenir Book"/>
        </w:rPr>
      </w:pPr>
      <w:r w:rsidRPr="00985558">
        <w:rPr>
          <w:rStyle w:val="Textoennegrita"/>
          <w:rFonts w:ascii="Avenir Book" w:hAnsi="Avenir Book"/>
        </w:rPr>
        <w:t>Mejor integración de la familia en el proceso</w:t>
      </w:r>
      <w:r w:rsidRPr="00985558">
        <w:rPr>
          <w:rFonts w:ascii="Avenir Book" w:hAnsi="Avenir Book"/>
        </w:rPr>
        <w:br/>
        <w:t>Un abordaje precoz, claro y sin dramatización permite que las familias comprendan mejor la situación y se integren como parte del equipo terapéutico.</w:t>
      </w:r>
    </w:p>
    <w:p w14:paraId="7BD6B6B5" w14:textId="77777777" w:rsidR="00605254" w:rsidRPr="00985558" w:rsidRDefault="00605254" w:rsidP="00985558">
      <w:pPr>
        <w:pStyle w:val="NormalWeb"/>
        <w:numPr>
          <w:ilvl w:val="0"/>
          <w:numId w:val="30"/>
        </w:numPr>
        <w:jc w:val="both"/>
        <w:rPr>
          <w:rFonts w:ascii="Avenir Book" w:hAnsi="Avenir Book"/>
        </w:rPr>
      </w:pPr>
      <w:r w:rsidRPr="00985558">
        <w:rPr>
          <w:rStyle w:val="Textoennegrita"/>
          <w:rFonts w:ascii="Avenir Book" w:hAnsi="Avenir Book"/>
        </w:rPr>
        <w:t>Mejores resultados quirúrgicos y funcionales</w:t>
      </w:r>
      <w:r w:rsidRPr="00985558">
        <w:rPr>
          <w:rFonts w:ascii="Avenir Book" w:hAnsi="Avenir Book"/>
        </w:rPr>
        <w:br/>
        <w:t xml:space="preserve">Aunque la tendencia actual es diferir muchas cirugías hasta la adolescencia, </w:t>
      </w:r>
      <w:r w:rsidRPr="00985558">
        <w:rPr>
          <w:rFonts w:ascii="Avenir Book" w:hAnsi="Avenir Book"/>
        </w:rPr>
        <w:lastRenderedPageBreak/>
        <w:t xml:space="preserve">algunas situaciones, como las </w:t>
      </w:r>
      <w:r w:rsidRPr="00985558">
        <w:rPr>
          <w:rStyle w:val="Textoennegrita"/>
          <w:rFonts w:ascii="Avenir Book" w:hAnsi="Avenir Book"/>
        </w:rPr>
        <w:t>criptorquidias intraabdominales bilaterales</w:t>
      </w:r>
      <w:r w:rsidRPr="00985558">
        <w:rPr>
          <w:rFonts w:ascii="Avenir Book" w:hAnsi="Avenir Book"/>
        </w:rPr>
        <w:t xml:space="preserve">, requieren </w:t>
      </w:r>
      <w:r w:rsidRPr="00985558">
        <w:rPr>
          <w:rStyle w:val="Textoennegrita"/>
          <w:rFonts w:ascii="Avenir Book" w:hAnsi="Avenir Book"/>
        </w:rPr>
        <w:t>cirugía precoz</w:t>
      </w:r>
      <w:r w:rsidRPr="00985558">
        <w:rPr>
          <w:rFonts w:ascii="Avenir Book" w:hAnsi="Avenir Book"/>
        </w:rPr>
        <w:t>, especialmente para prevenir riesgo tumoral.</w:t>
      </w:r>
    </w:p>
    <w:p w14:paraId="772C29CC" w14:textId="77777777" w:rsidR="00605254" w:rsidRPr="00985558" w:rsidRDefault="00605254" w:rsidP="00985558">
      <w:pPr>
        <w:pStyle w:val="NormalWeb"/>
        <w:numPr>
          <w:ilvl w:val="0"/>
          <w:numId w:val="30"/>
        </w:numPr>
        <w:jc w:val="both"/>
        <w:rPr>
          <w:rFonts w:ascii="Avenir Book" w:hAnsi="Avenir Book"/>
        </w:rPr>
      </w:pPr>
      <w:r w:rsidRPr="00985558">
        <w:rPr>
          <w:rStyle w:val="Textoennegrita"/>
          <w:rFonts w:ascii="Avenir Book" w:hAnsi="Avenir Book"/>
        </w:rPr>
        <w:t>Prevención de complicaciones psicosociales</w:t>
      </w:r>
      <w:r w:rsidRPr="00985558">
        <w:rPr>
          <w:rFonts w:ascii="Avenir Book" w:hAnsi="Avenir Book"/>
        </w:rPr>
        <w:br/>
        <w:t xml:space="preserve">La incertidumbre prolongada, la falta de información y la medicalización excesiva sin explicaciones claras generan </w:t>
      </w:r>
      <w:r w:rsidRPr="00985558">
        <w:rPr>
          <w:rStyle w:val="Textoennegrita"/>
          <w:rFonts w:ascii="Avenir Book" w:hAnsi="Avenir Book"/>
        </w:rPr>
        <w:t>ansiedad y desconfianza</w:t>
      </w:r>
      <w:r w:rsidRPr="00985558">
        <w:rPr>
          <w:rFonts w:ascii="Avenir Book" w:hAnsi="Avenir Book"/>
        </w:rPr>
        <w:t xml:space="preserve"> en las familias. Un manejo precoz y claro reduce este impacto.</w:t>
      </w:r>
    </w:p>
    <w:p w14:paraId="744C749D" w14:textId="1FCE88B0" w:rsidR="00605254" w:rsidRPr="00985558" w:rsidRDefault="00605254" w:rsidP="00985558">
      <w:pPr>
        <w:jc w:val="both"/>
        <w:rPr>
          <w:rFonts w:ascii="Avenir Book" w:hAnsi="Avenir Book"/>
        </w:rPr>
      </w:pPr>
    </w:p>
    <w:p w14:paraId="34228E77" w14:textId="77777777" w:rsidR="00605254" w:rsidRPr="00985558" w:rsidRDefault="00605254" w:rsidP="00985558">
      <w:pPr>
        <w:pStyle w:val="Ttulo3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>Papel específico de Atención Primaria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9"/>
        <w:gridCol w:w="4449"/>
      </w:tblGrid>
      <w:tr w:rsidR="00605254" w:rsidRPr="00985558" w14:paraId="6BB757D1" w14:textId="77777777" w:rsidTr="006052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C04692" w14:textId="77777777" w:rsidR="00605254" w:rsidRPr="00985558" w:rsidRDefault="00605254" w:rsidP="00985558">
            <w:pPr>
              <w:jc w:val="both"/>
              <w:rPr>
                <w:rFonts w:ascii="Avenir Book" w:hAnsi="Avenir Book"/>
                <w:b/>
                <w:bCs/>
              </w:rPr>
            </w:pPr>
            <w:r w:rsidRPr="00985558">
              <w:rPr>
                <w:rFonts w:ascii="Avenir Book" w:hAnsi="Avenir Book"/>
                <w:b/>
                <w:bCs/>
              </w:rPr>
              <w:t>Acción</w:t>
            </w:r>
          </w:p>
        </w:tc>
        <w:tc>
          <w:tcPr>
            <w:tcW w:w="0" w:type="auto"/>
            <w:vAlign w:val="center"/>
            <w:hideMark/>
          </w:tcPr>
          <w:p w14:paraId="6760129F" w14:textId="77777777" w:rsidR="00605254" w:rsidRPr="00985558" w:rsidRDefault="00605254" w:rsidP="00985558">
            <w:pPr>
              <w:jc w:val="both"/>
              <w:rPr>
                <w:rFonts w:ascii="Avenir Book" w:hAnsi="Avenir Book"/>
                <w:b/>
                <w:bCs/>
              </w:rPr>
            </w:pPr>
            <w:r w:rsidRPr="00985558">
              <w:rPr>
                <w:rFonts w:ascii="Avenir Book" w:hAnsi="Avenir Book"/>
                <w:b/>
                <w:bCs/>
              </w:rPr>
              <w:t>Objetivo</w:t>
            </w:r>
          </w:p>
        </w:tc>
      </w:tr>
      <w:tr w:rsidR="00605254" w:rsidRPr="00985558" w14:paraId="2A4E58E0" w14:textId="77777777" w:rsidTr="006052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B0E901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Fonts w:ascii="Avenir Book" w:hAnsi="Avenir Book"/>
              </w:rPr>
              <w:t>Identificar signos de alarma</w:t>
            </w:r>
          </w:p>
        </w:tc>
        <w:tc>
          <w:tcPr>
            <w:tcW w:w="0" w:type="auto"/>
            <w:vAlign w:val="center"/>
            <w:hideMark/>
          </w:tcPr>
          <w:p w14:paraId="64E7C3C5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Fonts w:ascii="Avenir Book" w:hAnsi="Avenir Book"/>
              </w:rPr>
              <w:t>Evitar retrasos diagnósticos</w:t>
            </w:r>
          </w:p>
        </w:tc>
      </w:tr>
      <w:tr w:rsidR="00605254" w:rsidRPr="00985558" w14:paraId="690DA8E7" w14:textId="77777777" w:rsidTr="006052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449F7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Fonts w:ascii="Avenir Book" w:hAnsi="Avenir Book"/>
              </w:rPr>
              <w:t>Informar a la familia de forma sencilla</w:t>
            </w:r>
          </w:p>
        </w:tc>
        <w:tc>
          <w:tcPr>
            <w:tcW w:w="0" w:type="auto"/>
            <w:vAlign w:val="center"/>
            <w:hideMark/>
          </w:tcPr>
          <w:p w14:paraId="1186523D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Fonts w:ascii="Avenir Book" w:hAnsi="Avenir Book"/>
              </w:rPr>
              <w:t>Evitar dramatización y reducir ansiedad</w:t>
            </w:r>
          </w:p>
        </w:tc>
      </w:tr>
      <w:tr w:rsidR="00605254" w:rsidRPr="00985558" w14:paraId="26FC1F74" w14:textId="77777777" w:rsidTr="006052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58F57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Fonts w:ascii="Avenir Book" w:hAnsi="Avenir Book"/>
              </w:rPr>
              <w:t>Solicitar pruebas iniciales cuando esté indicado</w:t>
            </w:r>
          </w:p>
        </w:tc>
        <w:tc>
          <w:tcPr>
            <w:tcW w:w="0" w:type="auto"/>
            <w:vAlign w:val="center"/>
            <w:hideMark/>
          </w:tcPr>
          <w:p w14:paraId="7228EC3F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Fonts w:ascii="Avenir Book" w:hAnsi="Avenir Book"/>
              </w:rPr>
              <w:t>Acelerar el proceso diagnóstico</w:t>
            </w:r>
          </w:p>
        </w:tc>
      </w:tr>
      <w:tr w:rsidR="00605254" w:rsidRPr="00985558" w14:paraId="704E7A09" w14:textId="77777777" w:rsidTr="006052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F74A4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Fonts w:ascii="Avenir Book" w:hAnsi="Avenir Book"/>
              </w:rPr>
              <w:t>Derivar al CSUR correspondiente</w:t>
            </w:r>
          </w:p>
        </w:tc>
        <w:tc>
          <w:tcPr>
            <w:tcW w:w="0" w:type="auto"/>
            <w:vAlign w:val="center"/>
            <w:hideMark/>
          </w:tcPr>
          <w:p w14:paraId="503A86B4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Fonts w:ascii="Avenir Book" w:hAnsi="Avenir Book"/>
              </w:rPr>
              <w:t>Garantizar valoración por equipo multidisciplinar</w:t>
            </w:r>
          </w:p>
        </w:tc>
      </w:tr>
      <w:tr w:rsidR="00605254" w:rsidRPr="00985558" w14:paraId="67B48607" w14:textId="77777777" w:rsidTr="006052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AC9286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Fonts w:ascii="Avenir Book" w:hAnsi="Avenir Book"/>
              </w:rPr>
              <w:t>Acompañar a la familia durante el proceso</w:t>
            </w:r>
          </w:p>
        </w:tc>
        <w:tc>
          <w:tcPr>
            <w:tcW w:w="0" w:type="auto"/>
            <w:vAlign w:val="center"/>
            <w:hideMark/>
          </w:tcPr>
          <w:p w14:paraId="307DDDD8" w14:textId="77777777" w:rsidR="00605254" w:rsidRPr="00985558" w:rsidRDefault="00605254" w:rsidP="00985558">
            <w:pPr>
              <w:jc w:val="both"/>
              <w:rPr>
                <w:rFonts w:ascii="Avenir Book" w:hAnsi="Avenir Book"/>
              </w:rPr>
            </w:pPr>
            <w:r w:rsidRPr="00985558">
              <w:rPr>
                <w:rFonts w:ascii="Avenir Book" w:hAnsi="Avenir Book"/>
              </w:rPr>
              <w:t>Ser punto de apoyo continuado</w:t>
            </w:r>
          </w:p>
        </w:tc>
      </w:tr>
    </w:tbl>
    <w:p w14:paraId="13869D3A" w14:textId="515E82D5" w:rsidR="00605254" w:rsidRPr="00985558" w:rsidRDefault="00605254" w:rsidP="00985558">
      <w:pPr>
        <w:jc w:val="both"/>
        <w:rPr>
          <w:rFonts w:ascii="Avenir Book" w:hAnsi="Avenir Book"/>
        </w:rPr>
      </w:pPr>
    </w:p>
    <w:p w14:paraId="2E4A7604" w14:textId="77777777" w:rsidR="00605254" w:rsidRPr="00985558" w:rsidRDefault="00605254" w:rsidP="00985558">
      <w:pPr>
        <w:pStyle w:val="Ttulo3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>Mensajes clave para AP</w:t>
      </w:r>
    </w:p>
    <w:p w14:paraId="799E36EA" w14:textId="77777777" w:rsidR="00605254" w:rsidRPr="00985558" w:rsidRDefault="00605254" w:rsidP="00985558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El </w:t>
      </w:r>
      <w:r w:rsidRPr="00985558">
        <w:rPr>
          <w:rStyle w:val="Textoennegrita"/>
          <w:rFonts w:ascii="Avenir Book" w:hAnsi="Avenir Book"/>
        </w:rPr>
        <w:t>desarrollo sexual no siempre es binario</w:t>
      </w:r>
      <w:r w:rsidRPr="00985558">
        <w:rPr>
          <w:rFonts w:ascii="Avenir Book" w:hAnsi="Avenir Book"/>
        </w:rPr>
        <w:t>: hay muchas variantes dentro de la normalidad.</w:t>
      </w:r>
    </w:p>
    <w:p w14:paraId="45ADA971" w14:textId="77777777" w:rsidR="00605254" w:rsidRPr="00985558" w:rsidRDefault="00605254" w:rsidP="00985558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La </w:t>
      </w:r>
      <w:r w:rsidRPr="00985558">
        <w:rPr>
          <w:rStyle w:val="Textoennegrita"/>
          <w:rFonts w:ascii="Avenir Book" w:hAnsi="Avenir Book"/>
        </w:rPr>
        <w:t>sospecha precoz</w:t>
      </w:r>
      <w:r w:rsidRPr="00985558">
        <w:rPr>
          <w:rFonts w:ascii="Avenir Book" w:hAnsi="Avenir Book"/>
        </w:rPr>
        <w:t xml:space="preserve"> de un DSD permite un diagnóstico más preciso y una mejor planificación terapéutica.</w:t>
      </w:r>
    </w:p>
    <w:p w14:paraId="324A2666" w14:textId="77777777" w:rsidR="00605254" w:rsidRPr="00985558" w:rsidRDefault="00605254" w:rsidP="00985558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La </w:t>
      </w:r>
      <w:r w:rsidRPr="00985558">
        <w:rPr>
          <w:rStyle w:val="Textoennegrita"/>
          <w:rFonts w:ascii="Avenir Book" w:hAnsi="Avenir Book"/>
        </w:rPr>
        <w:t>comunicación clara y tranquila</w:t>
      </w:r>
      <w:r w:rsidRPr="00985558">
        <w:rPr>
          <w:rFonts w:ascii="Avenir Book" w:hAnsi="Avenir Book"/>
        </w:rPr>
        <w:t xml:space="preserve"> con las familias es parte esencial del trabajo de atención primaria.</w:t>
      </w:r>
    </w:p>
    <w:p w14:paraId="61AFE26E" w14:textId="77777777" w:rsidR="00605254" w:rsidRPr="00985558" w:rsidRDefault="00605254" w:rsidP="00985558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El </w:t>
      </w:r>
      <w:r w:rsidRPr="00985558">
        <w:rPr>
          <w:rStyle w:val="Textoennegrita"/>
          <w:rFonts w:ascii="Avenir Book" w:hAnsi="Avenir Book"/>
        </w:rPr>
        <w:t>trabajo en red</w:t>
      </w:r>
      <w:r w:rsidRPr="00985558">
        <w:rPr>
          <w:rFonts w:ascii="Avenir Book" w:hAnsi="Avenir Book"/>
        </w:rPr>
        <w:t xml:space="preserve"> con los CSUR y las unidades de referencia es clave para ofrecer una atención óptima.</w:t>
      </w:r>
    </w:p>
    <w:p w14:paraId="338E8BD3" w14:textId="31CDF661" w:rsidR="00605254" w:rsidRDefault="00605254" w:rsidP="00985558">
      <w:pPr>
        <w:jc w:val="both"/>
        <w:rPr>
          <w:rFonts w:ascii="Avenir Book" w:hAnsi="Avenir Book"/>
        </w:rPr>
      </w:pPr>
    </w:p>
    <w:p w14:paraId="165F6D9E" w14:textId="77777777" w:rsidR="00985558" w:rsidRDefault="00985558" w:rsidP="00985558">
      <w:pPr>
        <w:jc w:val="both"/>
        <w:rPr>
          <w:rFonts w:ascii="Avenir Book" w:hAnsi="Avenir Book"/>
        </w:rPr>
      </w:pPr>
    </w:p>
    <w:p w14:paraId="38CAECDA" w14:textId="5D21540E" w:rsidR="00985558" w:rsidRPr="00985558" w:rsidRDefault="00985558" w:rsidP="00985558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Autores: C. Tordable Ojeda, D. </w:t>
      </w:r>
      <w:proofErr w:type="spellStart"/>
      <w:r>
        <w:rPr>
          <w:rFonts w:ascii="Avenir Book" w:hAnsi="Avenir Book"/>
        </w:rPr>
        <w:t>Cabezalí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Barbancho</w:t>
      </w:r>
      <w:proofErr w:type="spellEnd"/>
    </w:p>
    <w:p w14:paraId="3F66687E" w14:textId="3F74201D" w:rsidR="00605254" w:rsidRPr="00985558" w:rsidRDefault="00605254" w:rsidP="00985558">
      <w:pPr>
        <w:pStyle w:val="Ttulo2"/>
        <w:jc w:val="both"/>
        <w:rPr>
          <w:rFonts w:ascii="Avenir Book" w:hAnsi="Avenir Book"/>
          <w:sz w:val="36"/>
          <w:szCs w:val="36"/>
        </w:rPr>
      </w:pPr>
      <w:r w:rsidRPr="00985558">
        <w:rPr>
          <w:rFonts w:ascii="Avenir Book" w:hAnsi="Avenir Book"/>
          <w:sz w:val="36"/>
          <w:szCs w:val="36"/>
        </w:rPr>
        <w:lastRenderedPageBreak/>
        <w:t xml:space="preserve">BIBLIOGRAFÍA </w:t>
      </w:r>
    </w:p>
    <w:p w14:paraId="56C36E1B" w14:textId="77777777" w:rsidR="00605254" w:rsidRPr="00985558" w:rsidRDefault="00605254" w:rsidP="00985558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  <w:lang w:val="en-US"/>
        </w:rPr>
        <w:t xml:space="preserve">Lee PA, </w:t>
      </w:r>
      <w:proofErr w:type="spellStart"/>
      <w:r w:rsidRPr="00985558">
        <w:rPr>
          <w:rFonts w:ascii="Avenir Book" w:hAnsi="Avenir Book"/>
          <w:lang w:val="en-US"/>
        </w:rPr>
        <w:t>Nordenström</w:t>
      </w:r>
      <w:proofErr w:type="spellEnd"/>
      <w:r w:rsidRPr="00985558">
        <w:rPr>
          <w:rFonts w:ascii="Avenir Book" w:hAnsi="Avenir Book"/>
          <w:lang w:val="en-US"/>
        </w:rPr>
        <w:t xml:space="preserve"> A, </w:t>
      </w:r>
      <w:proofErr w:type="spellStart"/>
      <w:r w:rsidRPr="00985558">
        <w:rPr>
          <w:rFonts w:ascii="Avenir Book" w:hAnsi="Avenir Book"/>
          <w:lang w:val="en-US"/>
        </w:rPr>
        <w:t>Houk</w:t>
      </w:r>
      <w:proofErr w:type="spellEnd"/>
      <w:r w:rsidRPr="00985558">
        <w:rPr>
          <w:rFonts w:ascii="Avenir Book" w:hAnsi="Avenir Book"/>
          <w:lang w:val="en-US"/>
        </w:rPr>
        <w:t xml:space="preserve"> CP, Ahmed SF, </w:t>
      </w:r>
      <w:proofErr w:type="spellStart"/>
      <w:r w:rsidRPr="00985558">
        <w:rPr>
          <w:rFonts w:ascii="Avenir Book" w:hAnsi="Avenir Book"/>
          <w:lang w:val="en-US"/>
        </w:rPr>
        <w:t>Auchus</w:t>
      </w:r>
      <w:proofErr w:type="spellEnd"/>
      <w:r w:rsidRPr="00985558">
        <w:rPr>
          <w:rFonts w:ascii="Avenir Book" w:hAnsi="Avenir Book"/>
          <w:lang w:val="en-US"/>
        </w:rPr>
        <w:t xml:space="preserve"> R, </w:t>
      </w:r>
      <w:proofErr w:type="spellStart"/>
      <w:r w:rsidRPr="00985558">
        <w:rPr>
          <w:rFonts w:ascii="Avenir Book" w:hAnsi="Avenir Book"/>
          <w:lang w:val="en-US"/>
        </w:rPr>
        <w:t>Baratz</w:t>
      </w:r>
      <w:proofErr w:type="spellEnd"/>
      <w:r w:rsidRPr="00985558">
        <w:rPr>
          <w:rFonts w:ascii="Avenir Book" w:hAnsi="Avenir Book"/>
          <w:lang w:val="en-US"/>
        </w:rPr>
        <w:t xml:space="preserve"> A, et al. Global Disorders of Sex Development Update since 2006: Perceptions, Approach and Care. </w:t>
      </w:r>
      <w:proofErr w:type="spellStart"/>
      <w:r w:rsidRPr="00985558">
        <w:rPr>
          <w:rStyle w:val="Textoennegrita"/>
          <w:rFonts w:ascii="Avenir Book" w:hAnsi="Avenir Book"/>
        </w:rPr>
        <w:t>Horm</w:t>
      </w:r>
      <w:proofErr w:type="spellEnd"/>
      <w:r w:rsidRPr="00985558">
        <w:rPr>
          <w:rStyle w:val="Textoennegrita"/>
          <w:rFonts w:ascii="Avenir Book" w:hAnsi="Avenir Book"/>
        </w:rPr>
        <w:t xml:space="preserve"> Res </w:t>
      </w:r>
      <w:proofErr w:type="spellStart"/>
      <w:r w:rsidRPr="00985558">
        <w:rPr>
          <w:rStyle w:val="Textoennegrita"/>
          <w:rFonts w:ascii="Avenir Book" w:hAnsi="Avenir Book"/>
        </w:rPr>
        <w:t>Paediatr</w:t>
      </w:r>
      <w:proofErr w:type="spellEnd"/>
      <w:r w:rsidRPr="00985558">
        <w:rPr>
          <w:rFonts w:ascii="Avenir Book" w:hAnsi="Avenir Book"/>
        </w:rPr>
        <w:t>. 2016;85(3):158-80.</w:t>
      </w:r>
    </w:p>
    <w:p w14:paraId="2263F4D3" w14:textId="77777777" w:rsidR="00605254" w:rsidRPr="00985558" w:rsidRDefault="00605254" w:rsidP="00985558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  <w:lang w:val="en-US"/>
        </w:rPr>
        <w:t xml:space="preserve">Cools M, </w:t>
      </w:r>
      <w:proofErr w:type="spellStart"/>
      <w:r w:rsidRPr="00985558">
        <w:rPr>
          <w:rFonts w:ascii="Avenir Book" w:hAnsi="Avenir Book"/>
          <w:lang w:val="en-US"/>
        </w:rPr>
        <w:t>Nordenström</w:t>
      </w:r>
      <w:proofErr w:type="spellEnd"/>
      <w:r w:rsidRPr="00985558">
        <w:rPr>
          <w:rFonts w:ascii="Avenir Book" w:hAnsi="Avenir Book"/>
          <w:lang w:val="en-US"/>
        </w:rPr>
        <w:t xml:space="preserve"> A, </w:t>
      </w:r>
      <w:proofErr w:type="spellStart"/>
      <w:r w:rsidRPr="00985558">
        <w:rPr>
          <w:rFonts w:ascii="Avenir Book" w:hAnsi="Avenir Book"/>
          <w:lang w:val="en-US"/>
        </w:rPr>
        <w:t>Robeva</w:t>
      </w:r>
      <w:proofErr w:type="spellEnd"/>
      <w:r w:rsidRPr="00985558">
        <w:rPr>
          <w:rFonts w:ascii="Avenir Book" w:hAnsi="Avenir Book"/>
          <w:lang w:val="en-US"/>
        </w:rPr>
        <w:t xml:space="preserve"> R, Hall J, </w:t>
      </w:r>
      <w:proofErr w:type="spellStart"/>
      <w:r w:rsidRPr="00985558">
        <w:rPr>
          <w:rFonts w:ascii="Avenir Book" w:hAnsi="Avenir Book"/>
          <w:lang w:val="en-US"/>
        </w:rPr>
        <w:t>Westerveld</w:t>
      </w:r>
      <w:proofErr w:type="spellEnd"/>
      <w:r w:rsidRPr="00985558">
        <w:rPr>
          <w:rFonts w:ascii="Avenir Book" w:hAnsi="Avenir Book"/>
          <w:lang w:val="en-US"/>
        </w:rPr>
        <w:t xml:space="preserve"> P, </w:t>
      </w:r>
      <w:proofErr w:type="spellStart"/>
      <w:r w:rsidRPr="00985558">
        <w:rPr>
          <w:rFonts w:ascii="Avenir Book" w:hAnsi="Avenir Book"/>
          <w:lang w:val="en-US"/>
        </w:rPr>
        <w:t>Flück</w:t>
      </w:r>
      <w:proofErr w:type="spellEnd"/>
      <w:r w:rsidRPr="00985558">
        <w:rPr>
          <w:rFonts w:ascii="Avenir Book" w:hAnsi="Avenir Book"/>
          <w:lang w:val="en-US"/>
        </w:rPr>
        <w:t xml:space="preserve"> C, et al. Caring for individuals with a difference of sex development (DSD): a consensus statement. </w:t>
      </w:r>
      <w:proofErr w:type="spellStart"/>
      <w:r w:rsidRPr="00985558">
        <w:rPr>
          <w:rStyle w:val="Textoennegrita"/>
          <w:rFonts w:ascii="Avenir Book" w:hAnsi="Avenir Book"/>
        </w:rPr>
        <w:t>Nat</w:t>
      </w:r>
      <w:proofErr w:type="spellEnd"/>
      <w:r w:rsidRPr="00985558">
        <w:rPr>
          <w:rStyle w:val="Textoennegrita"/>
          <w:rFonts w:ascii="Avenir Book" w:hAnsi="Avenir Book"/>
        </w:rPr>
        <w:t xml:space="preserve"> </w:t>
      </w:r>
      <w:proofErr w:type="spellStart"/>
      <w:r w:rsidRPr="00985558">
        <w:rPr>
          <w:rStyle w:val="Textoennegrita"/>
          <w:rFonts w:ascii="Avenir Book" w:hAnsi="Avenir Book"/>
        </w:rPr>
        <w:t>Rev</w:t>
      </w:r>
      <w:proofErr w:type="spellEnd"/>
      <w:r w:rsidRPr="00985558">
        <w:rPr>
          <w:rStyle w:val="Textoennegrita"/>
          <w:rFonts w:ascii="Avenir Book" w:hAnsi="Avenir Book"/>
        </w:rPr>
        <w:t xml:space="preserve"> </w:t>
      </w:r>
      <w:proofErr w:type="spellStart"/>
      <w:r w:rsidRPr="00985558">
        <w:rPr>
          <w:rStyle w:val="Textoennegrita"/>
          <w:rFonts w:ascii="Avenir Book" w:hAnsi="Avenir Book"/>
        </w:rPr>
        <w:t>Endocrinol</w:t>
      </w:r>
      <w:proofErr w:type="spellEnd"/>
      <w:r w:rsidRPr="00985558">
        <w:rPr>
          <w:rFonts w:ascii="Avenir Book" w:hAnsi="Avenir Book"/>
        </w:rPr>
        <w:t>. 2018;14(7):415-29.</w:t>
      </w:r>
    </w:p>
    <w:p w14:paraId="6FB41585" w14:textId="77777777" w:rsidR="00605254" w:rsidRPr="00985558" w:rsidRDefault="00605254" w:rsidP="00985558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Ministerio de Sanidad, Servicios Sociales e Igualdad. Documento de consenso sobre el abordaje clínico-asistencial de las personas con diferencias del desarrollo sexual (DSD). Madrid: Ministerio de Sanidad; 2015. Disponible en: </w:t>
      </w:r>
      <w:hyperlink r:id="rId7" w:history="1">
        <w:r w:rsidRPr="00985558">
          <w:rPr>
            <w:rStyle w:val="Hipervnculo"/>
            <w:rFonts w:ascii="Avenir Book" w:hAnsi="Avenir Book"/>
          </w:rPr>
          <w:t>https://www.sanidad.gob.es/profesionales/CentrosDeReferencia/docs/TrastornosDesarrolloSexual.pdf</w:t>
        </w:r>
      </w:hyperlink>
    </w:p>
    <w:p w14:paraId="6AAA8B78" w14:textId="77777777" w:rsidR="00605254" w:rsidRPr="00985558" w:rsidRDefault="00605254" w:rsidP="00985558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Grupo de Trabajo de Pediatría Basada en la Evidencia de la </w:t>
      </w:r>
      <w:proofErr w:type="spellStart"/>
      <w:r w:rsidRPr="00985558">
        <w:rPr>
          <w:rFonts w:ascii="Avenir Book" w:hAnsi="Avenir Book"/>
        </w:rPr>
        <w:t>AEPap</w:t>
      </w:r>
      <w:proofErr w:type="spellEnd"/>
      <w:r w:rsidRPr="00985558">
        <w:rPr>
          <w:rFonts w:ascii="Avenir Book" w:hAnsi="Avenir Book"/>
        </w:rPr>
        <w:t xml:space="preserve">. Trastornos del desarrollo sexual: manejo inicial en atención primaria. </w:t>
      </w:r>
      <w:proofErr w:type="spellStart"/>
      <w:r w:rsidRPr="00985558">
        <w:rPr>
          <w:rStyle w:val="Textoennegrita"/>
          <w:rFonts w:ascii="Avenir Book" w:hAnsi="Avenir Book"/>
        </w:rPr>
        <w:t>Evid</w:t>
      </w:r>
      <w:proofErr w:type="spellEnd"/>
      <w:r w:rsidRPr="00985558">
        <w:rPr>
          <w:rStyle w:val="Textoennegrita"/>
          <w:rFonts w:ascii="Avenir Book" w:hAnsi="Avenir Book"/>
        </w:rPr>
        <w:t xml:space="preserve"> </w:t>
      </w:r>
      <w:proofErr w:type="spellStart"/>
      <w:r w:rsidRPr="00985558">
        <w:rPr>
          <w:rStyle w:val="Textoennegrita"/>
          <w:rFonts w:ascii="Avenir Book" w:hAnsi="Avenir Book"/>
        </w:rPr>
        <w:t>Pediatr</w:t>
      </w:r>
      <w:proofErr w:type="spellEnd"/>
      <w:r w:rsidRPr="00985558">
        <w:rPr>
          <w:rFonts w:ascii="Avenir Book" w:hAnsi="Avenir Book"/>
        </w:rPr>
        <w:t>. 2017;13(3</w:t>
      </w:r>
      <w:proofErr w:type="gramStart"/>
      <w:r w:rsidRPr="00985558">
        <w:rPr>
          <w:rFonts w:ascii="Avenir Book" w:hAnsi="Avenir Book"/>
        </w:rPr>
        <w:t>):e</w:t>
      </w:r>
      <w:proofErr w:type="gramEnd"/>
      <w:r w:rsidRPr="00985558">
        <w:rPr>
          <w:rFonts w:ascii="Avenir Book" w:hAnsi="Avenir Book"/>
        </w:rPr>
        <w:t>13010.</w:t>
      </w:r>
    </w:p>
    <w:p w14:paraId="2BB57A0C" w14:textId="77777777" w:rsidR="00605254" w:rsidRPr="00985558" w:rsidRDefault="00605254" w:rsidP="00985558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 xml:space="preserve">Corrales Campos R, González Martín C, Martín Espín I, Galán González T, Díaz Martín JJ. Manejo práctico de los trastornos del desarrollo sexual en atención primaria. </w:t>
      </w:r>
      <w:proofErr w:type="spellStart"/>
      <w:r w:rsidRPr="00985558">
        <w:rPr>
          <w:rStyle w:val="Textoennegrita"/>
          <w:rFonts w:ascii="Avenir Book" w:hAnsi="Avenir Book"/>
        </w:rPr>
        <w:t>Pediatr</w:t>
      </w:r>
      <w:proofErr w:type="spellEnd"/>
      <w:r w:rsidRPr="00985558">
        <w:rPr>
          <w:rStyle w:val="Textoennegrita"/>
          <w:rFonts w:ascii="Avenir Book" w:hAnsi="Avenir Book"/>
        </w:rPr>
        <w:t xml:space="preserve"> Integral</w:t>
      </w:r>
      <w:r w:rsidRPr="00985558">
        <w:rPr>
          <w:rFonts w:ascii="Avenir Book" w:hAnsi="Avenir Book"/>
        </w:rPr>
        <w:t>. 2019;23(6):305-15.</w:t>
      </w:r>
    </w:p>
    <w:p w14:paraId="6C17F712" w14:textId="77777777" w:rsidR="00605254" w:rsidRPr="00985558" w:rsidRDefault="00605254" w:rsidP="00985558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  <w:lang w:val="en-US"/>
        </w:rPr>
        <w:t xml:space="preserve">Ahmed SF, Khwaja O, Hughes IA. The role of diagnostic studies in the evaluation of the infant with ambiguous genitalia. </w:t>
      </w:r>
      <w:proofErr w:type="spellStart"/>
      <w:r w:rsidRPr="00985558">
        <w:rPr>
          <w:rStyle w:val="Textoennegrita"/>
          <w:rFonts w:ascii="Avenir Book" w:hAnsi="Avenir Book"/>
        </w:rPr>
        <w:t>Pediatr</w:t>
      </w:r>
      <w:proofErr w:type="spellEnd"/>
      <w:r w:rsidRPr="00985558">
        <w:rPr>
          <w:rStyle w:val="Textoennegrita"/>
          <w:rFonts w:ascii="Avenir Book" w:hAnsi="Avenir Book"/>
        </w:rPr>
        <w:t xml:space="preserve"> </w:t>
      </w:r>
      <w:proofErr w:type="spellStart"/>
      <w:r w:rsidRPr="00985558">
        <w:rPr>
          <w:rStyle w:val="Textoennegrita"/>
          <w:rFonts w:ascii="Avenir Book" w:hAnsi="Avenir Book"/>
        </w:rPr>
        <w:t>Endocrinol</w:t>
      </w:r>
      <w:proofErr w:type="spellEnd"/>
      <w:r w:rsidRPr="00985558">
        <w:rPr>
          <w:rStyle w:val="Textoennegrita"/>
          <w:rFonts w:ascii="Avenir Book" w:hAnsi="Avenir Book"/>
        </w:rPr>
        <w:t xml:space="preserve"> Rev</w:t>
      </w:r>
      <w:r w:rsidRPr="00985558">
        <w:rPr>
          <w:rFonts w:ascii="Avenir Book" w:hAnsi="Avenir Book"/>
        </w:rPr>
        <w:t>. 2004;2(2):134-40.</w:t>
      </w:r>
    </w:p>
    <w:p w14:paraId="6E6E7023" w14:textId="77777777" w:rsidR="00605254" w:rsidRPr="00985558" w:rsidRDefault="00605254" w:rsidP="00985558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  <w:lang w:val="en-US"/>
        </w:rPr>
        <w:t xml:space="preserve">Hughes IA, </w:t>
      </w:r>
      <w:proofErr w:type="spellStart"/>
      <w:r w:rsidRPr="00985558">
        <w:rPr>
          <w:rFonts w:ascii="Avenir Book" w:hAnsi="Avenir Book"/>
          <w:lang w:val="en-US"/>
        </w:rPr>
        <w:t>Nihoul</w:t>
      </w:r>
      <w:proofErr w:type="spellEnd"/>
      <w:r w:rsidRPr="00985558">
        <w:rPr>
          <w:rFonts w:ascii="Avenir Book" w:hAnsi="Avenir Book"/>
          <w:lang w:val="en-US"/>
        </w:rPr>
        <w:t>-Fekete C, Thomas B, Cohen-</w:t>
      </w:r>
      <w:proofErr w:type="spellStart"/>
      <w:r w:rsidRPr="00985558">
        <w:rPr>
          <w:rFonts w:ascii="Avenir Book" w:hAnsi="Avenir Book"/>
          <w:lang w:val="en-US"/>
        </w:rPr>
        <w:t>Kettenis</w:t>
      </w:r>
      <w:proofErr w:type="spellEnd"/>
      <w:r w:rsidRPr="00985558">
        <w:rPr>
          <w:rFonts w:ascii="Avenir Book" w:hAnsi="Avenir Book"/>
          <w:lang w:val="en-US"/>
        </w:rPr>
        <w:t xml:space="preserve"> PT. Consequences of the ESPE/LWPES guidelines for diagnosis and treatment of disorders of sex development. </w:t>
      </w:r>
      <w:proofErr w:type="spellStart"/>
      <w:r w:rsidRPr="00985558">
        <w:rPr>
          <w:rStyle w:val="Textoennegrita"/>
          <w:rFonts w:ascii="Avenir Book" w:hAnsi="Avenir Book"/>
        </w:rPr>
        <w:t>Best</w:t>
      </w:r>
      <w:proofErr w:type="spellEnd"/>
      <w:r w:rsidRPr="00985558">
        <w:rPr>
          <w:rStyle w:val="Textoennegrita"/>
          <w:rFonts w:ascii="Avenir Book" w:hAnsi="Avenir Book"/>
        </w:rPr>
        <w:t xml:space="preserve"> </w:t>
      </w:r>
      <w:proofErr w:type="spellStart"/>
      <w:r w:rsidRPr="00985558">
        <w:rPr>
          <w:rStyle w:val="Textoennegrita"/>
          <w:rFonts w:ascii="Avenir Book" w:hAnsi="Avenir Book"/>
        </w:rPr>
        <w:t>Pract</w:t>
      </w:r>
      <w:proofErr w:type="spellEnd"/>
      <w:r w:rsidRPr="00985558">
        <w:rPr>
          <w:rStyle w:val="Textoennegrita"/>
          <w:rFonts w:ascii="Avenir Book" w:hAnsi="Avenir Book"/>
        </w:rPr>
        <w:t xml:space="preserve"> Res Clin </w:t>
      </w:r>
      <w:proofErr w:type="spellStart"/>
      <w:r w:rsidRPr="00985558">
        <w:rPr>
          <w:rStyle w:val="Textoennegrita"/>
          <w:rFonts w:ascii="Avenir Book" w:hAnsi="Avenir Book"/>
        </w:rPr>
        <w:t>Endocrinol</w:t>
      </w:r>
      <w:proofErr w:type="spellEnd"/>
      <w:r w:rsidRPr="00985558">
        <w:rPr>
          <w:rStyle w:val="Textoennegrita"/>
          <w:rFonts w:ascii="Avenir Book" w:hAnsi="Avenir Book"/>
        </w:rPr>
        <w:t xml:space="preserve"> </w:t>
      </w:r>
      <w:proofErr w:type="spellStart"/>
      <w:r w:rsidRPr="00985558">
        <w:rPr>
          <w:rStyle w:val="Textoennegrita"/>
          <w:rFonts w:ascii="Avenir Book" w:hAnsi="Avenir Book"/>
        </w:rPr>
        <w:t>Metab</w:t>
      </w:r>
      <w:proofErr w:type="spellEnd"/>
      <w:r w:rsidRPr="00985558">
        <w:rPr>
          <w:rFonts w:ascii="Avenir Book" w:hAnsi="Avenir Book"/>
        </w:rPr>
        <w:t>. 2007;21(3):351-65.</w:t>
      </w:r>
    </w:p>
    <w:p w14:paraId="1DD0DFA2" w14:textId="77777777" w:rsidR="00605254" w:rsidRPr="00985558" w:rsidRDefault="00605254" w:rsidP="00985558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venir Book" w:hAnsi="Avenir Book"/>
        </w:rPr>
      </w:pPr>
      <w:proofErr w:type="spellStart"/>
      <w:r w:rsidRPr="00985558">
        <w:rPr>
          <w:rFonts w:ascii="Avenir Book" w:hAnsi="Avenir Book"/>
          <w:lang w:val="en-US"/>
        </w:rPr>
        <w:t>Pasterski</w:t>
      </w:r>
      <w:proofErr w:type="spellEnd"/>
      <w:r w:rsidRPr="00985558">
        <w:rPr>
          <w:rFonts w:ascii="Avenir Book" w:hAnsi="Avenir Book"/>
          <w:lang w:val="en-US"/>
        </w:rPr>
        <w:t xml:space="preserve"> V, Prentice P, Hughes IA. Consequences of the Chicago consensus on disorders of sex development (DSD): Current practices in Europe. </w:t>
      </w:r>
      <w:proofErr w:type="spellStart"/>
      <w:r w:rsidRPr="00985558">
        <w:rPr>
          <w:rStyle w:val="Textoennegrita"/>
          <w:rFonts w:ascii="Avenir Book" w:hAnsi="Avenir Book"/>
        </w:rPr>
        <w:t>Arch</w:t>
      </w:r>
      <w:proofErr w:type="spellEnd"/>
      <w:r w:rsidRPr="00985558">
        <w:rPr>
          <w:rStyle w:val="Textoennegrita"/>
          <w:rFonts w:ascii="Avenir Book" w:hAnsi="Avenir Book"/>
        </w:rPr>
        <w:t xml:space="preserve"> </w:t>
      </w:r>
      <w:proofErr w:type="spellStart"/>
      <w:r w:rsidRPr="00985558">
        <w:rPr>
          <w:rStyle w:val="Textoennegrita"/>
          <w:rFonts w:ascii="Avenir Book" w:hAnsi="Avenir Book"/>
        </w:rPr>
        <w:t>Dis</w:t>
      </w:r>
      <w:proofErr w:type="spellEnd"/>
      <w:r w:rsidRPr="00985558">
        <w:rPr>
          <w:rStyle w:val="Textoennegrita"/>
          <w:rFonts w:ascii="Avenir Book" w:hAnsi="Avenir Book"/>
        </w:rPr>
        <w:t xml:space="preserve"> Child</w:t>
      </w:r>
      <w:r w:rsidRPr="00985558">
        <w:rPr>
          <w:rFonts w:ascii="Avenir Book" w:hAnsi="Avenir Book"/>
        </w:rPr>
        <w:t>. 2010;95(8):618-23.</w:t>
      </w:r>
    </w:p>
    <w:p w14:paraId="7120197F" w14:textId="77777777" w:rsidR="00605254" w:rsidRPr="00985558" w:rsidRDefault="00605254" w:rsidP="00985558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</w:rPr>
        <w:t>Grupo de trabajo de Genética Clínica de la Sociedad Española de Medicina de Familia y Comunitaria (</w:t>
      </w:r>
      <w:proofErr w:type="spellStart"/>
      <w:r w:rsidRPr="00985558">
        <w:rPr>
          <w:rFonts w:ascii="Avenir Book" w:hAnsi="Avenir Book"/>
        </w:rPr>
        <w:t>semFYC</w:t>
      </w:r>
      <w:proofErr w:type="spellEnd"/>
      <w:r w:rsidRPr="00985558">
        <w:rPr>
          <w:rFonts w:ascii="Avenir Book" w:hAnsi="Avenir Book"/>
        </w:rPr>
        <w:t xml:space="preserve">). Recomendaciones de derivación desde atención primaria ante sospecha de anomalías genéticas. </w:t>
      </w:r>
      <w:r w:rsidRPr="00985558">
        <w:rPr>
          <w:rStyle w:val="Textoennegrita"/>
          <w:rFonts w:ascii="Avenir Book" w:hAnsi="Avenir Book"/>
        </w:rPr>
        <w:t>Aten Primaria</w:t>
      </w:r>
      <w:r w:rsidRPr="00985558">
        <w:rPr>
          <w:rFonts w:ascii="Avenir Book" w:hAnsi="Avenir Book"/>
        </w:rPr>
        <w:t>. 2019;51(4):245-55.</w:t>
      </w:r>
    </w:p>
    <w:p w14:paraId="777F208F" w14:textId="77777777" w:rsidR="00605254" w:rsidRPr="00985558" w:rsidRDefault="00605254" w:rsidP="00985558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Avenir Book" w:hAnsi="Avenir Book"/>
        </w:rPr>
      </w:pPr>
      <w:r w:rsidRPr="00985558">
        <w:rPr>
          <w:rFonts w:ascii="Avenir Book" w:hAnsi="Avenir Book"/>
          <w:lang w:val="en-US"/>
        </w:rPr>
        <w:t xml:space="preserve">Crouch NS, Creighton SM. Ambiguous genitalia: a practical approach to initial assessment and management. </w:t>
      </w:r>
      <w:proofErr w:type="spellStart"/>
      <w:r w:rsidRPr="00985558">
        <w:rPr>
          <w:rStyle w:val="Textoennegrita"/>
          <w:rFonts w:ascii="Avenir Book" w:hAnsi="Avenir Book"/>
        </w:rPr>
        <w:t>Obstet</w:t>
      </w:r>
      <w:proofErr w:type="spellEnd"/>
      <w:r w:rsidRPr="00985558">
        <w:rPr>
          <w:rStyle w:val="Textoennegrita"/>
          <w:rFonts w:ascii="Avenir Book" w:hAnsi="Avenir Book"/>
        </w:rPr>
        <w:t xml:space="preserve"> </w:t>
      </w:r>
      <w:proofErr w:type="spellStart"/>
      <w:r w:rsidRPr="00985558">
        <w:rPr>
          <w:rStyle w:val="Textoennegrita"/>
          <w:rFonts w:ascii="Avenir Book" w:hAnsi="Avenir Book"/>
        </w:rPr>
        <w:t>Gynaecol</w:t>
      </w:r>
      <w:proofErr w:type="spellEnd"/>
      <w:r w:rsidRPr="00985558">
        <w:rPr>
          <w:rStyle w:val="Textoennegrita"/>
          <w:rFonts w:ascii="Avenir Book" w:hAnsi="Avenir Book"/>
        </w:rPr>
        <w:t xml:space="preserve"> </w:t>
      </w:r>
      <w:proofErr w:type="spellStart"/>
      <w:r w:rsidRPr="00985558">
        <w:rPr>
          <w:rStyle w:val="Textoennegrita"/>
          <w:rFonts w:ascii="Avenir Book" w:hAnsi="Avenir Book"/>
        </w:rPr>
        <w:t>Reprod</w:t>
      </w:r>
      <w:proofErr w:type="spellEnd"/>
      <w:r w:rsidRPr="00985558">
        <w:rPr>
          <w:rStyle w:val="Textoennegrita"/>
          <w:rFonts w:ascii="Avenir Book" w:hAnsi="Avenir Book"/>
        </w:rPr>
        <w:t xml:space="preserve"> </w:t>
      </w:r>
      <w:proofErr w:type="spellStart"/>
      <w:r w:rsidRPr="00985558">
        <w:rPr>
          <w:rStyle w:val="Textoennegrita"/>
          <w:rFonts w:ascii="Avenir Book" w:hAnsi="Avenir Book"/>
        </w:rPr>
        <w:t>Med</w:t>
      </w:r>
      <w:proofErr w:type="spellEnd"/>
      <w:r w:rsidRPr="00985558">
        <w:rPr>
          <w:rFonts w:ascii="Avenir Book" w:hAnsi="Avenir Book"/>
        </w:rPr>
        <w:t>. 2012;22(1):7-13.</w:t>
      </w:r>
    </w:p>
    <w:p w14:paraId="67540CFB" w14:textId="1E82EAB4" w:rsidR="00AB602B" w:rsidRPr="00985558" w:rsidRDefault="00AB602B" w:rsidP="00985558">
      <w:pPr>
        <w:jc w:val="both"/>
        <w:rPr>
          <w:rFonts w:ascii="Avenir Book" w:hAnsi="Avenir Book"/>
        </w:rPr>
      </w:pPr>
    </w:p>
    <w:sectPr w:rsidR="00AB602B" w:rsidRPr="0098555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7340" w14:textId="77777777" w:rsidR="0061330A" w:rsidRDefault="0061330A" w:rsidP="0093587E">
      <w:r>
        <w:separator/>
      </w:r>
    </w:p>
  </w:endnote>
  <w:endnote w:type="continuationSeparator" w:id="0">
    <w:p w14:paraId="5E355063" w14:textId="77777777" w:rsidR="0061330A" w:rsidRDefault="0061330A" w:rsidP="0093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E418" w14:textId="77777777" w:rsidR="0061330A" w:rsidRDefault="0061330A" w:rsidP="0093587E">
      <w:r>
        <w:separator/>
      </w:r>
    </w:p>
  </w:footnote>
  <w:footnote w:type="continuationSeparator" w:id="0">
    <w:p w14:paraId="29DAC588" w14:textId="77777777" w:rsidR="0061330A" w:rsidRDefault="0061330A" w:rsidP="00935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03DF" w14:textId="0F079DAB" w:rsidR="0093587E" w:rsidRDefault="0093587E">
    <w:pPr>
      <w:pStyle w:val="Encabezado"/>
    </w:pPr>
    <w:r w:rsidRPr="00D624D7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2385F25" wp14:editId="2C012395">
          <wp:simplePos x="0" y="0"/>
          <wp:positionH relativeFrom="column">
            <wp:posOffset>-877677</wp:posOffset>
          </wp:positionH>
          <wp:positionV relativeFrom="paragraph">
            <wp:posOffset>-299406</wp:posOffset>
          </wp:positionV>
          <wp:extent cx="2619375" cy="695325"/>
          <wp:effectExtent l="0" t="0" r="0" b="0"/>
          <wp:wrapSquare wrapText="bothSides"/>
          <wp:docPr id="1" name="Imagen 1" descr="d:\Documents and Settings\70886635Z\Escritorio\Logo hosp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 and Settings\70886635Z\Escritorio\Logo hospi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0CBD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54FEF"/>
    <w:multiLevelType w:val="multilevel"/>
    <w:tmpl w:val="9A6E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16929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80DF3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10A5D"/>
    <w:multiLevelType w:val="multilevel"/>
    <w:tmpl w:val="76FC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2FCF"/>
    <w:multiLevelType w:val="multilevel"/>
    <w:tmpl w:val="B28E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30E81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129FA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022D4"/>
    <w:multiLevelType w:val="multilevel"/>
    <w:tmpl w:val="BA54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22525E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C673B2"/>
    <w:multiLevelType w:val="multilevel"/>
    <w:tmpl w:val="873E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1600D"/>
    <w:multiLevelType w:val="multilevel"/>
    <w:tmpl w:val="00F0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DF6BCC"/>
    <w:multiLevelType w:val="multilevel"/>
    <w:tmpl w:val="601A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C41918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5D6F3B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5301C0"/>
    <w:multiLevelType w:val="multilevel"/>
    <w:tmpl w:val="93989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D214FE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2D7041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6F4FA7"/>
    <w:multiLevelType w:val="multilevel"/>
    <w:tmpl w:val="00F0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55F3D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FE22F0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227329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015CF1"/>
    <w:multiLevelType w:val="multilevel"/>
    <w:tmpl w:val="B332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6111DD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011543"/>
    <w:multiLevelType w:val="multilevel"/>
    <w:tmpl w:val="D8CC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F90034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BB5093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BB19CE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E72B51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3410A6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760B9E"/>
    <w:multiLevelType w:val="multilevel"/>
    <w:tmpl w:val="D674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F710C5"/>
    <w:multiLevelType w:val="multilevel"/>
    <w:tmpl w:val="88E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7254385">
    <w:abstractNumId w:val="16"/>
  </w:num>
  <w:num w:numId="2" w16cid:durableId="1157578856">
    <w:abstractNumId w:val="7"/>
  </w:num>
  <w:num w:numId="3" w16cid:durableId="757674779">
    <w:abstractNumId w:val="0"/>
  </w:num>
  <w:num w:numId="4" w16cid:durableId="235827548">
    <w:abstractNumId w:val="17"/>
  </w:num>
  <w:num w:numId="5" w16cid:durableId="535435432">
    <w:abstractNumId w:val="14"/>
  </w:num>
  <w:num w:numId="6" w16cid:durableId="495389587">
    <w:abstractNumId w:val="25"/>
  </w:num>
  <w:num w:numId="7" w16cid:durableId="267277159">
    <w:abstractNumId w:val="15"/>
  </w:num>
  <w:num w:numId="8" w16cid:durableId="129826931">
    <w:abstractNumId w:val="27"/>
  </w:num>
  <w:num w:numId="9" w16cid:durableId="1616328931">
    <w:abstractNumId w:val="6"/>
  </w:num>
  <w:num w:numId="10" w16cid:durableId="902564846">
    <w:abstractNumId w:val="28"/>
  </w:num>
  <w:num w:numId="11" w16cid:durableId="1837644372">
    <w:abstractNumId w:val="29"/>
  </w:num>
  <w:num w:numId="12" w16cid:durableId="1815176767">
    <w:abstractNumId w:val="23"/>
  </w:num>
  <w:num w:numId="13" w16cid:durableId="947153164">
    <w:abstractNumId w:val="19"/>
  </w:num>
  <w:num w:numId="14" w16cid:durableId="93865272">
    <w:abstractNumId w:val="26"/>
  </w:num>
  <w:num w:numId="15" w16cid:durableId="1495411682">
    <w:abstractNumId w:val="20"/>
  </w:num>
  <w:num w:numId="16" w16cid:durableId="1333725585">
    <w:abstractNumId w:val="9"/>
  </w:num>
  <w:num w:numId="17" w16cid:durableId="1374236537">
    <w:abstractNumId w:val="3"/>
  </w:num>
  <w:num w:numId="18" w16cid:durableId="936444453">
    <w:abstractNumId w:val="13"/>
  </w:num>
  <w:num w:numId="19" w16cid:durableId="1882210161">
    <w:abstractNumId w:val="21"/>
  </w:num>
  <w:num w:numId="20" w16cid:durableId="58677773">
    <w:abstractNumId w:val="31"/>
  </w:num>
  <w:num w:numId="21" w16cid:durableId="517623382">
    <w:abstractNumId w:val="2"/>
  </w:num>
  <w:num w:numId="22" w16cid:durableId="1417557238">
    <w:abstractNumId w:val="5"/>
  </w:num>
  <w:num w:numId="23" w16cid:durableId="1948077164">
    <w:abstractNumId w:val="8"/>
  </w:num>
  <w:num w:numId="24" w16cid:durableId="1988969892">
    <w:abstractNumId w:val="1"/>
  </w:num>
  <w:num w:numId="25" w16cid:durableId="137112120">
    <w:abstractNumId w:val="22"/>
  </w:num>
  <w:num w:numId="26" w16cid:durableId="1758864132">
    <w:abstractNumId w:val="30"/>
  </w:num>
  <w:num w:numId="27" w16cid:durableId="307591732">
    <w:abstractNumId w:val="24"/>
  </w:num>
  <w:num w:numId="28" w16cid:durableId="1986548105">
    <w:abstractNumId w:val="4"/>
  </w:num>
  <w:num w:numId="29" w16cid:durableId="1868106485">
    <w:abstractNumId w:val="10"/>
  </w:num>
  <w:num w:numId="30" w16cid:durableId="1299602298">
    <w:abstractNumId w:val="18"/>
  </w:num>
  <w:num w:numId="31" w16cid:durableId="821039515">
    <w:abstractNumId w:val="12"/>
  </w:num>
  <w:num w:numId="32" w16cid:durableId="47094652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7E"/>
    <w:rsid w:val="000B5C8A"/>
    <w:rsid w:val="00204965"/>
    <w:rsid w:val="0058014D"/>
    <w:rsid w:val="00605254"/>
    <w:rsid w:val="0061330A"/>
    <w:rsid w:val="007833E1"/>
    <w:rsid w:val="0093587E"/>
    <w:rsid w:val="00985558"/>
    <w:rsid w:val="00AB602B"/>
    <w:rsid w:val="00D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78E6"/>
  <w15:chartTrackingRefBased/>
  <w15:docId w15:val="{43DDE681-C057-C943-85CC-45123DF2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60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3587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60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3587E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styleId="Textoennegrita">
    <w:name w:val="Strong"/>
    <w:basedOn w:val="Fuentedeprrafopredeter"/>
    <w:uiPriority w:val="22"/>
    <w:qFormat/>
    <w:rsid w:val="0093587E"/>
    <w:rPr>
      <w:b/>
      <w:bCs/>
    </w:rPr>
  </w:style>
  <w:style w:type="paragraph" w:styleId="NormalWeb">
    <w:name w:val="Normal (Web)"/>
    <w:basedOn w:val="Normal"/>
    <w:uiPriority w:val="99"/>
    <w:unhideWhenUsed/>
    <w:rsid w:val="009358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358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587E"/>
  </w:style>
  <w:style w:type="paragraph" w:styleId="Piedepgina">
    <w:name w:val="footer"/>
    <w:basedOn w:val="Normal"/>
    <w:link w:val="PiedepginaCar"/>
    <w:uiPriority w:val="99"/>
    <w:unhideWhenUsed/>
    <w:rsid w:val="009358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87E"/>
  </w:style>
  <w:style w:type="character" w:customStyle="1" w:styleId="Ttulo2Car">
    <w:name w:val="Título 2 Car"/>
    <w:basedOn w:val="Fuentedeprrafopredeter"/>
    <w:link w:val="Ttulo2"/>
    <w:uiPriority w:val="9"/>
    <w:rsid w:val="00AB60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602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AB6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B602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05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nidad.gob.es/profesionales/CentrosDeReferencia/docs/TrastornosDesarrolloSexu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1798</Words>
  <Characters>9895</Characters>
  <Application>Microsoft Office Word</Application>
  <DocSecurity>0</DocSecurity>
  <Lines>82</Lines>
  <Paragraphs>23</Paragraphs>
  <ScaleCrop>false</ScaleCrop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tordable</dc:creator>
  <cp:keywords/>
  <dc:description/>
  <cp:lastModifiedBy>Indalecio Cano Novillo</cp:lastModifiedBy>
  <cp:revision>4</cp:revision>
  <dcterms:created xsi:type="dcterms:W3CDTF">2025-03-02T09:49:00Z</dcterms:created>
  <dcterms:modified xsi:type="dcterms:W3CDTF">2025-03-03T14:03:00Z</dcterms:modified>
</cp:coreProperties>
</file>